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972"/>
        </w:tabs>
        <w:spacing w:after="0" w:line="360" w:lineRule="auto"/>
        <w:jc w:val="center"/>
        <w:rPr>
          <w:rFonts w:ascii="宋体" w:hAnsi="宋体"/>
          <w:color w:val="000000"/>
        </w:rPr>
      </w:pPr>
      <w:bookmarkStart w:id="0" w:name="_Toc499301046"/>
      <w:r>
        <w:rPr>
          <w:rFonts w:hint="eastAsia" w:ascii="宋体" w:hAnsi="宋体"/>
          <w:color w:val="000000"/>
        </w:rPr>
        <w:t>中国水利教育培训网新上线课程</w:t>
      </w:r>
      <w:bookmarkEnd w:id="0"/>
      <w:r>
        <w:rPr>
          <w:rFonts w:hint="eastAsia" w:ascii="宋体" w:hAnsi="宋体"/>
          <w:color w:val="000000"/>
        </w:rPr>
        <w:t>目录</w:t>
      </w:r>
      <w:bookmarkStart w:id="1" w:name="_GoBack"/>
      <w:bookmarkEnd w:id="1"/>
    </w:p>
    <w:p>
      <w:pPr>
        <w:spacing w:before="120" w:beforeLines="50" w:after="120" w:afterLines="50" w:line="240" w:lineRule="auto"/>
        <w:jc w:val="center"/>
        <w:rPr>
          <w:rFonts w:hint="eastAsia"/>
          <w:b/>
          <w:color w:val="000000" w:themeColor="text1"/>
          <w:szCs w:val="21"/>
          <w:lang w:eastAsia="zh-CN"/>
          <w14:textFill>
            <w14:solidFill>
              <w14:schemeClr w14:val="tx1"/>
            </w14:solidFill>
          </w14:textFill>
        </w:rPr>
      </w:pPr>
      <w:r>
        <w:rPr>
          <w:rFonts w:hint="eastAsia"/>
          <w:b/>
          <w:color w:val="000000" w:themeColor="text1"/>
          <w:sz w:val="24"/>
          <w:szCs w:val="24"/>
          <w:lang w:eastAsia="zh-CN"/>
          <w14:textFill>
            <w14:solidFill>
              <w14:schemeClr w14:val="tx1"/>
            </w14:solidFill>
          </w14:textFill>
        </w:rPr>
        <w:t>（</w:t>
      </w:r>
      <w:r>
        <w:rPr>
          <w:rFonts w:hint="eastAsia"/>
          <w:b/>
          <w:color w:val="000000" w:themeColor="text1"/>
          <w:sz w:val="24"/>
          <w:szCs w:val="24"/>
          <w:lang w:val="en-US" w:eastAsia="zh-CN"/>
          <w14:textFill>
            <w14:solidFill>
              <w14:schemeClr w14:val="tx1"/>
            </w14:solidFill>
          </w14:textFill>
        </w:rPr>
        <w:t>共152门、242个学时，其中微课程86门</w:t>
      </w:r>
      <w:r>
        <w:rPr>
          <w:rFonts w:hint="eastAsia"/>
          <w:b/>
          <w:color w:val="000000" w:themeColor="text1"/>
          <w:sz w:val="24"/>
          <w:szCs w:val="24"/>
          <w:lang w:eastAsia="zh-CN"/>
          <w14:textFill>
            <w14:solidFill>
              <w14:schemeClr w14:val="tx1"/>
            </w14:solidFill>
          </w14:textFill>
        </w:rPr>
        <w:t>）</w:t>
      </w:r>
    </w:p>
    <w:tbl>
      <w:tblPr>
        <w:tblStyle w:val="33"/>
        <w:tblW w:w="15108" w:type="dxa"/>
        <w:jc w:val="center"/>
        <w:tblInd w:w="0" w:type="dxa"/>
        <w:tblLayout w:type="fixed"/>
        <w:tblCellMar>
          <w:top w:w="0" w:type="dxa"/>
          <w:left w:w="108" w:type="dxa"/>
          <w:bottom w:w="0" w:type="dxa"/>
          <w:right w:w="108" w:type="dxa"/>
        </w:tblCellMar>
      </w:tblPr>
      <w:tblGrid>
        <w:gridCol w:w="756"/>
        <w:gridCol w:w="3480"/>
        <w:gridCol w:w="8788"/>
        <w:gridCol w:w="1100"/>
        <w:gridCol w:w="984"/>
      </w:tblGrid>
      <w:tr>
        <w:tblPrEx>
          <w:tblLayout w:type="fixed"/>
          <w:tblCellMar>
            <w:top w:w="0" w:type="dxa"/>
            <w:left w:w="108" w:type="dxa"/>
            <w:bottom w:w="0" w:type="dxa"/>
            <w:right w:w="108" w:type="dxa"/>
          </w:tblCellMar>
        </w:tblPrEx>
        <w:trPr>
          <w:trHeight w:val="511"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spacing w:line="240" w:lineRule="auto"/>
              <w:jc w:val="center"/>
              <w:rPr>
                <w:rFonts w:ascii="黑体" w:hAnsi="黑体" w:eastAsia="黑体"/>
                <w:b/>
                <w:bCs/>
                <w:color w:val="000000" w:themeColor="text1"/>
                <w:sz w:val="24"/>
                <w:szCs w:val="21"/>
                <w14:textFill>
                  <w14:solidFill>
                    <w14:schemeClr w14:val="tx1"/>
                  </w14:solidFill>
                </w14:textFill>
              </w:rPr>
            </w:pPr>
            <w:r>
              <w:rPr>
                <w:rFonts w:hint="eastAsia" w:ascii="黑体" w:hAnsi="黑体" w:eastAsia="黑体"/>
                <w:b/>
                <w:bCs/>
                <w:color w:val="000000" w:themeColor="text1"/>
                <w:sz w:val="24"/>
                <w:szCs w:val="21"/>
                <w14:textFill>
                  <w14:solidFill>
                    <w14:schemeClr w14:val="tx1"/>
                  </w14:solidFill>
                </w14:textFill>
              </w:rPr>
              <w:t>序号</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黑体" w:hAnsi="黑体" w:eastAsia="黑体"/>
                <w:b/>
                <w:bCs/>
                <w:color w:val="000000" w:themeColor="text1"/>
                <w:sz w:val="24"/>
                <w:szCs w:val="21"/>
                <w14:textFill>
                  <w14:solidFill>
                    <w14:schemeClr w14:val="tx1"/>
                  </w14:solidFill>
                </w14:textFill>
              </w:rPr>
            </w:pPr>
            <w:r>
              <w:rPr>
                <w:rFonts w:hint="eastAsia" w:ascii="黑体" w:hAnsi="黑体" w:eastAsia="黑体"/>
                <w:b/>
                <w:bCs/>
                <w:color w:val="000000" w:themeColor="text1"/>
                <w:sz w:val="24"/>
                <w:szCs w:val="21"/>
                <w14:textFill>
                  <w14:solidFill>
                    <w14:schemeClr w14:val="tx1"/>
                  </w14:solidFill>
                </w14:textFill>
              </w:rPr>
              <w:t>课程名称</w:t>
            </w:r>
          </w:p>
        </w:tc>
        <w:tc>
          <w:tcPr>
            <w:tcW w:w="8788"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黑体" w:hAnsi="黑体" w:eastAsia="黑体"/>
                <w:b/>
                <w:bCs/>
                <w:color w:val="000000" w:themeColor="text1"/>
                <w:sz w:val="24"/>
                <w:szCs w:val="21"/>
                <w14:textFill>
                  <w14:solidFill>
                    <w14:schemeClr w14:val="tx1"/>
                  </w14:solidFill>
                </w14:textFill>
              </w:rPr>
            </w:pPr>
            <w:r>
              <w:rPr>
                <w:rFonts w:hint="eastAsia" w:ascii="黑体" w:hAnsi="黑体" w:eastAsia="黑体"/>
                <w:b/>
                <w:bCs/>
                <w:color w:val="000000" w:themeColor="text1"/>
                <w:sz w:val="24"/>
                <w:szCs w:val="21"/>
                <w14:textFill>
                  <w14:solidFill>
                    <w14:schemeClr w14:val="tx1"/>
                  </w14:solidFill>
                </w14:textFill>
              </w:rPr>
              <w:t>课程简介</w:t>
            </w:r>
          </w:p>
        </w:tc>
        <w:tc>
          <w:tcPr>
            <w:tcW w:w="1100"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spacing w:line="240" w:lineRule="auto"/>
              <w:jc w:val="center"/>
              <w:rPr>
                <w:rFonts w:ascii="黑体" w:hAnsi="黑体" w:eastAsia="黑体"/>
                <w:b/>
                <w:bCs/>
                <w:color w:val="000000" w:themeColor="text1"/>
                <w:sz w:val="24"/>
                <w:szCs w:val="21"/>
                <w14:textFill>
                  <w14:solidFill>
                    <w14:schemeClr w14:val="tx1"/>
                  </w14:solidFill>
                </w14:textFill>
              </w:rPr>
            </w:pPr>
            <w:r>
              <w:rPr>
                <w:rFonts w:hint="eastAsia" w:ascii="黑体" w:hAnsi="黑体" w:eastAsia="黑体"/>
                <w:b/>
                <w:bCs/>
                <w:color w:val="000000" w:themeColor="text1"/>
                <w:sz w:val="24"/>
                <w:szCs w:val="21"/>
                <w14:textFill>
                  <w14:solidFill>
                    <w14:schemeClr w14:val="tx1"/>
                  </w14:solidFill>
                </w14:textFill>
              </w:rPr>
              <w:t>学时</w:t>
            </w:r>
          </w:p>
        </w:tc>
        <w:tc>
          <w:tcPr>
            <w:tcW w:w="984"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黑体" w:hAnsi="黑体" w:eastAsia="黑体"/>
                <w:b/>
                <w:bCs/>
                <w:color w:val="000000" w:themeColor="text1"/>
                <w:sz w:val="24"/>
                <w:szCs w:val="21"/>
                <w14:textFill>
                  <w14:solidFill>
                    <w14:schemeClr w14:val="tx1"/>
                  </w14:solidFill>
                </w14:textFill>
              </w:rPr>
            </w:pPr>
            <w:r>
              <w:rPr>
                <w:rFonts w:hint="eastAsia" w:ascii="黑体" w:hAnsi="黑体" w:eastAsia="黑体"/>
                <w:b/>
                <w:bCs/>
                <w:color w:val="000000" w:themeColor="text1"/>
                <w:sz w:val="24"/>
                <w:szCs w:val="21"/>
                <w14:textFill>
                  <w14:solidFill>
                    <w14:schemeClr w14:val="tx1"/>
                  </w14:solidFill>
                </w14:textFill>
              </w:rPr>
              <w:t>备注</w:t>
            </w:r>
          </w:p>
        </w:tc>
      </w:tr>
      <w:tr>
        <w:tblPrEx>
          <w:tblLayout w:type="fixed"/>
          <w:tblCellMar>
            <w:top w:w="0" w:type="dxa"/>
            <w:left w:w="108" w:type="dxa"/>
            <w:bottom w:w="0" w:type="dxa"/>
            <w:right w:w="108" w:type="dxa"/>
          </w:tblCellMar>
        </w:tblPrEx>
        <w:trPr>
          <w:trHeight w:val="552" w:hRule="atLeast"/>
          <w:jc w:val="center"/>
        </w:trPr>
        <w:tc>
          <w:tcPr>
            <w:tcW w:w="1510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before="120" w:beforeLines="50" w:after="120" w:afterLines="50" w:line="240" w:lineRule="auto"/>
              <w:rPr>
                <w:rFonts w:hint="eastAsia"/>
                <w:b/>
                <w:color w:val="000000" w:themeColor="text1"/>
                <w:szCs w:val="21"/>
                <w:lang w:val="en-US" w:eastAsia="zh-CN"/>
                <w14:textFill>
                  <w14:solidFill>
                    <w14:schemeClr w14:val="tx1"/>
                  </w14:solidFill>
                </w14:textFill>
              </w:rPr>
            </w:pPr>
            <w:r>
              <w:rPr>
                <w:rFonts w:hint="eastAsia"/>
                <w:b/>
                <w:color w:val="000000" w:themeColor="text1"/>
                <w:szCs w:val="21"/>
                <w14:textFill>
                  <w14:solidFill>
                    <w14:schemeClr w14:val="tx1"/>
                  </w14:solidFill>
                </w14:textFill>
              </w:rPr>
              <w:t>一、水利类培训微课程</w:t>
            </w:r>
            <w:r>
              <w:rPr>
                <w:b/>
                <w:color w:val="000000" w:themeColor="text1"/>
                <w:szCs w:val="21"/>
                <w14:textFill>
                  <w14:solidFill>
                    <w14:schemeClr w14:val="tx1"/>
                  </w14:solidFill>
                </w14:textFill>
              </w:rPr>
              <w:t>(</w:t>
            </w:r>
            <w:r>
              <w:rPr>
                <w:rFonts w:hint="eastAsia"/>
                <w:b/>
                <w:color w:val="000000" w:themeColor="text1"/>
                <w:szCs w:val="21"/>
                <w14:textFill>
                  <w14:solidFill>
                    <w14:schemeClr w14:val="tx1"/>
                  </w14:solidFill>
                </w14:textFill>
              </w:rPr>
              <w:t>共计</w:t>
            </w:r>
            <w:r>
              <w:rPr>
                <w:rFonts w:hint="eastAsia"/>
                <w:b/>
                <w:color w:val="000000" w:themeColor="text1"/>
                <w:szCs w:val="21"/>
                <w:lang w:val="en-US" w:eastAsia="zh-CN"/>
                <w14:textFill>
                  <w14:solidFill>
                    <w14:schemeClr w14:val="tx1"/>
                  </w14:solidFill>
                </w14:textFill>
              </w:rPr>
              <w:t>70</w:t>
            </w:r>
            <w:r>
              <w:rPr>
                <w:rFonts w:hint="eastAsia"/>
                <w:b/>
                <w:color w:val="000000" w:themeColor="text1"/>
                <w:szCs w:val="21"/>
                <w14:textFill>
                  <w14:solidFill>
                    <w14:schemeClr w14:val="tx1"/>
                  </w14:solidFill>
                </w14:textFill>
              </w:rPr>
              <w:t>门</w:t>
            </w:r>
            <w:r>
              <w:rPr>
                <w:b/>
                <w:color w:val="000000" w:themeColor="text1"/>
                <w:szCs w:val="21"/>
                <w14:textFill>
                  <w14:solidFill>
                    <w14:schemeClr w14:val="tx1"/>
                  </w14:solidFill>
                </w14:textFill>
              </w:rPr>
              <w:t>课</w:t>
            </w:r>
            <w:r>
              <w:rPr>
                <w:rFonts w:hint="eastAsia"/>
                <w:b/>
                <w:color w:val="000000" w:themeColor="text1"/>
                <w:szCs w:val="21"/>
                <w14:textFill>
                  <w14:solidFill>
                    <w14:schemeClr w14:val="tx1"/>
                  </w14:solidFill>
                </w14:textFill>
              </w:rPr>
              <w:t>，</w:t>
            </w:r>
            <w:r>
              <w:rPr>
                <w:rFonts w:hint="eastAsia"/>
                <w:b/>
                <w:color w:val="000000" w:themeColor="text1"/>
                <w:szCs w:val="21"/>
                <w:lang w:val="en-US" w:eastAsia="zh-CN"/>
                <w14:textFill>
                  <w14:solidFill>
                    <w14:schemeClr w14:val="tx1"/>
                  </w14:solidFill>
                </w14:textFill>
              </w:rPr>
              <w:t>142</w:t>
            </w:r>
            <w:r>
              <w:rPr>
                <w:rFonts w:hint="eastAsia"/>
                <w:b/>
                <w:color w:val="000000" w:themeColor="text1"/>
                <w:szCs w:val="21"/>
                <w14:textFill>
                  <w14:solidFill>
                    <w14:schemeClr w14:val="tx1"/>
                  </w14:solidFill>
                </w14:textFill>
              </w:rPr>
              <w:t>学时</w:t>
            </w:r>
            <w:r>
              <w:rPr>
                <w:rFonts w:hint="eastAsia"/>
                <w:b/>
                <w:color w:val="000000" w:themeColor="text1"/>
                <w:szCs w:val="21"/>
                <w:lang w:eastAsia="zh-CN"/>
                <w14:textFill>
                  <w14:solidFill>
                    <w14:schemeClr w14:val="tx1"/>
                  </w14:solidFill>
                </w14:textFill>
              </w:rPr>
              <w:t>，其中微课</w:t>
            </w:r>
            <w:r>
              <w:rPr>
                <w:rFonts w:hint="eastAsia"/>
                <w:b/>
                <w:color w:val="000000" w:themeColor="text1"/>
                <w:szCs w:val="21"/>
                <w:lang w:val="en-US" w:eastAsia="zh-CN"/>
                <w14:textFill>
                  <w14:solidFill>
                    <w14:schemeClr w14:val="tx1"/>
                  </w14:solidFill>
                </w14:textFill>
              </w:rPr>
              <w:t>30门</w:t>
            </w:r>
            <w:r>
              <w:rPr>
                <w:b/>
                <w:color w:val="000000" w:themeColor="text1"/>
                <w:szCs w:val="21"/>
                <w14:textFill>
                  <w14:solidFill>
                    <w14:schemeClr w14:val="tx1"/>
                  </w14:solidFill>
                </w14:textFill>
              </w:rPr>
              <w:t>)</w:t>
            </w:r>
          </w:p>
        </w:tc>
      </w:tr>
      <w:tr>
        <w:tblPrEx>
          <w:tblLayout w:type="fixed"/>
          <w:tblCellMar>
            <w:top w:w="0" w:type="dxa"/>
            <w:left w:w="108" w:type="dxa"/>
            <w:bottom w:w="0" w:type="dxa"/>
            <w:right w:w="108" w:type="dxa"/>
          </w:tblCellMar>
        </w:tblPrEx>
        <w:trPr>
          <w:trHeight w:val="1501"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水利信息化补短板暨推进智慧水利</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cs="Arial"/>
                <w:color w:val="000000" w:themeColor="text1"/>
                <w:szCs w:val="21"/>
                <w:lang w:val="en-US" w:eastAsia="zh-CN"/>
                <w14:textFill>
                  <w14:solidFill>
                    <w14:schemeClr w14:val="tx1"/>
                  </w14:solidFill>
                </w14:textFill>
              </w:rPr>
            </w:pPr>
            <w:r>
              <w:rPr>
                <w:rFonts w:hint="eastAsia" w:cs="Arial"/>
                <w:color w:val="000000" w:themeColor="text1"/>
                <w:szCs w:val="21"/>
                <w14:textFill>
                  <w14:solidFill>
                    <w14:schemeClr w14:val="tx1"/>
                  </w14:solidFill>
                </w14:textFill>
              </w:rPr>
              <w:t>水利部信息中心原副总工、二级教授级高工程宜联</w:t>
            </w:r>
            <w:r>
              <w:rPr>
                <w:rFonts w:hint="eastAsia" w:cs="Arial"/>
                <w:color w:val="000000" w:themeColor="text1"/>
                <w:szCs w:val="21"/>
                <w:lang w:val="en-US" w:eastAsia="zh-CN"/>
                <w14:textFill>
                  <w14:solidFill>
                    <w14:schemeClr w14:val="tx1"/>
                  </w14:solidFill>
                </w14:textFill>
              </w:rPr>
              <w:t>主讲。</w:t>
            </w:r>
          </w:p>
          <w:p>
            <w:pPr>
              <w:widowControl/>
              <w:spacing w:line="240" w:lineRule="auto"/>
              <w:rPr>
                <w:rFonts w:hint="eastAsia" w:cs="Arial"/>
                <w:color w:val="000000" w:themeColor="text1"/>
                <w:szCs w:val="21"/>
                <w14:textFill>
                  <w14:solidFill>
                    <w14:schemeClr w14:val="tx1"/>
                  </w14:solidFill>
                </w14:textFill>
              </w:rPr>
            </w:pPr>
            <w:r>
              <w:rPr>
                <w:rFonts w:hint="eastAsia" w:cs="Arial"/>
                <w:color w:val="000000" w:themeColor="text1"/>
                <w:szCs w:val="21"/>
                <w14:textFill>
                  <w14:solidFill>
                    <w14:schemeClr w14:val="tx1"/>
                  </w14:solidFill>
                </w14:textFill>
              </w:rPr>
              <w:t>课程内容：讲解信息化的极端重要性，介绍信息化补短板的主要举措，《智慧水利总体方案》的总体要求（指导思想、总体目标、基本原则、编制依据）、总体架构（业务架构、应用架构、数据架构、水利云架构、网络架构、安全架构）、主要任务（水利感知网、水利信息网、水利大脑、智能应用、网络安全、保障体系）、当前重点推进工作和预期效果。</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4</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120" w:beforeLines="50" w:after="120" w:afterLines="50" w:line="240" w:lineRule="auto"/>
              <w:rPr>
                <w:rFonts w:hint="eastAsia"/>
                <w:b/>
                <w:color w:val="000000" w:themeColor="text1"/>
                <w:szCs w:val="21"/>
                <w14:textFill>
                  <w14:solidFill>
                    <w14:schemeClr w14:val="tx1"/>
                  </w14:solidFill>
                </w14:textFill>
              </w:rPr>
            </w:pPr>
          </w:p>
        </w:tc>
      </w:tr>
      <w:tr>
        <w:tblPrEx>
          <w:tblLayout w:type="fixed"/>
          <w:tblCellMar>
            <w:top w:w="0" w:type="dxa"/>
            <w:left w:w="108" w:type="dxa"/>
            <w:bottom w:w="0" w:type="dxa"/>
            <w:right w:w="108" w:type="dxa"/>
          </w:tblCellMar>
        </w:tblPrEx>
        <w:trPr>
          <w:trHeight w:val="997"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水利政务及其数据的内在联系研究</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cs="Arial"/>
                <w:color w:val="000000" w:themeColor="text1"/>
                <w:szCs w:val="21"/>
                <w:lang w:val="en-US" w:eastAsia="zh-CN"/>
                <w14:textFill>
                  <w14:solidFill>
                    <w14:schemeClr w14:val="tx1"/>
                  </w14:solidFill>
                </w14:textFill>
              </w:rPr>
            </w:pPr>
            <w:r>
              <w:rPr>
                <w:rFonts w:hint="eastAsia" w:cs="Arial"/>
                <w:color w:val="000000" w:themeColor="text1"/>
                <w:szCs w:val="21"/>
                <w14:textFill>
                  <w14:solidFill>
                    <w14:schemeClr w14:val="tx1"/>
                  </w14:solidFill>
                </w14:textFill>
              </w:rPr>
              <w:t>水利部信息中心原副总工、二级教授级高工程宜联</w:t>
            </w:r>
            <w:r>
              <w:rPr>
                <w:rFonts w:hint="eastAsia" w:cs="Arial"/>
                <w:color w:val="000000" w:themeColor="text1"/>
                <w:szCs w:val="21"/>
                <w:lang w:val="en-US" w:eastAsia="zh-CN"/>
                <w14:textFill>
                  <w14:solidFill>
                    <w14:schemeClr w14:val="tx1"/>
                  </w14:solidFill>
                </w14:textFill>
              </w:rPr>
              <w:t>主讲。</w:t>
            </w:r>
          </w:p>
          <w:p>
            <w:pPr>
              <w:widowControl/>
              <w:spacing w:line="240" w:lineRule="auto"/>
              <w:rPr>
                <w:rFonts w:hint="eastAsia" w:cs="Arial"/>
                <w:color w:val="000000" w:themeColor="text1"/>
                <w:szCs w:val="21"/>
                <w14:textFill>
                  <w14:solidFill>
                    <w14:schemeClr w14:val="tx1"/>
                  </w14:solidFill>
                </w14:textFill>
              </w:rPr>
            </w:pPr>
            <w:r>
              <w:rPr>
                <w:rFonts w:hint="eastAsia" w:cs="Arial"/>
                <w:color w:val="000000" w:themeColor="text1"/>
                <w:szCs w:val="21"/>
                <w14:textFill>
                  <w14:solidFill>
                    <w14:schemeClr w14:val="tx1"/>
                  </w14:solidFill>
                </w14:textFill>
              </w:rPr>
              <w:t>课程内容：水利政务、水利政务数据及其内在联系，水利政务应用整合建设与协同运行，数据的长期、稳定、有效共享等。</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1.5</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120" w:beforeLines="50" w:after="120" w:afterLines="50" w:line="240" w:lineRule="auto"/>
              <w:rPr>
                <w:rFonts w:hint="eastAsia"/>
                <w:b/>
                <w:color w:val="000000" w:themeColor="text1"/>
                <w:szCs w:val="21"/>
                <w14:textFill>
                  <w14:solidFill>
                    <w14:schemeClr w14:val="tx1"/>
                  </w14:solidFill>
                </w14:textFill>
              </w:rPr>
            </w:pPr>
          </w:p>
        </w:tc>
      </w:tr>
      <w:tr>
        <w:tblPrEx>
          <w:tblLayout w:type="fixed"/>
          <w:tblCellMar>
            <w:top w:w="0" w:type="dxa"/>
            <w:left w:w="108" w:type="dxa"/>
            <w:bottom w:w="0" w:type="dxa"/>
            <w:right w:w="108" w:type="dxa"/>
          </w:tblCellMar>
        </w:tblPrEx>
        <w:trPr>
          <w:trHeight w:val="1264"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3</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我国水安全保障的形势与战略思路</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cs="Arial"/>
                <w:color w:val="000000" w:themeColor="text1"/>
                <w:szCs w:val="21"/>
                <w:lang w:val="en-US" w:eastAsia="zh-CN"/>
                <w14:textFill>
                  <w14:solidFill>
                    <w14:schemeClr w14:val="tx1"/>
                  </w14:solidFill>
                </w14:textFill>
              </w:rPr>
            </w:pPr>
            <w:r>
              <w:rPr>
                <w:rFonts w:hint="eastAsia" w:cs="Arial"/>
                <w:color w:val="000000" w:themeColor="text1"/>
                <w:szCs w:val="21"/>
                <w14:textFill>
                  <w14:solidFill>
                    <w14:schemeClr w14:val="tx1"/>
                  </w14:solidFill>
                </w14:textFill>
              </w:rPr>
              <w:t>水利部水利水电规划设计总院副处长、高级工程师赵钟楠</w:t>
            </w:r>
            <w:r>
              <w:rPr>
                <w:rFonts w:hint="eastAsia" w:cs="Arial"/>
                <w:color w:val="000000" w:themeColor="text1"/>
                <w:szCs w:val="21"/>
                <w:lang w:val="en-US" w:eastAsia="zh-CN"/>
                <w14:textFill>
                  <w14:solidFill>
                    <w14:schemeClr w14:val="tx1"/>
                  </w14:solidFill>
                </w14:textFill>
              </w:rPr>
              <w:t>主讲。</w:t>
            </w:r>
          </w:p>
          <w:p>
            <w:pPr>
              <w:widowControl/>
              <w:spacing w:line="240" w:lineRule="auto"/>
              <w:rPr>
                <w:rFonts w:hint="eastAsia" w:cs="Arial"/>
                <w:color w:val="000000" w:themeColor="text1"/>
                <w:szCs w:val="21"/>
                <w14:textFill>
                  <w14:solidFill>
                    <w14:schemeClr w14:val="tx1"/>
                  </w14:solidFill>
                </w14:textFill>
              </w:rPr>
            </w:pPr>
            <w:r>
              <w:rPr>
                <w:rFonts w:hint="eastAsia" w:cs="Arial"/>
                <w:color w:val="000000" w:themeColor="text1"/>
                <w:szCs w:val="21"/>
                <w14:textFill>
                  <w14:solidFill>
                    <w14:schemeClr w14:val="tx1"/>
                  </w14:solidFill>
                </w14:textFill>
              </w:rPr>
              <w:t>课程内容：介绍水安全的概念内涵与特征，梳理了我国水安全保障的背景和要求，分析了我国水安全保障面临的严峻性、紧迫性、复杂性和长期性的特点，以问题为导向，提出新时代我国水安全保障的出发点、目标、思路和主要任务。</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3</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120" w:beforeLines="50" w:after="120" w:afterLines="50" w:line="240" w:lineRule="auto"/>
              <w:rPr>
                <w:rFonts w:hint="eastAsia"/>
                <w:b/>
                <w:color w:val="000000" w:themeColor="text1"/>
                <w:szCs w:val="21"/>
                <w14:textFill>
                  <w14:solidFill>
                    <w14:schemeClr w14:val="tx1"/>
                  </w14:solidFill>
                </w14:textFill>
              </w:rPr>
            </w:pPr>
          </w:p>
        </w:tc>
      </w:tr>
      <w:tr>
        <w:tblPrEx>
          <w:tblLayout w:type="fixed"/>
          <w:tblCellMar>
            <w:top w:w="0" w:type="dxa"/>
            <w:left w:w="108" w:type="dxa"/>
            <w:bottom w:w="0" w:type="dxa"/>
            <w:right w:w="108" w:type="dxa"/>
          </w:tblCellMar>
        </w:tblPrEx>
        <w:trPr>
          <w:trHeight w:val="1022"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4</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水库移民后期扶持监测评估</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cs="Arial"/>
                <w:color w:val="000000" w:themeColor="text1"/>
                <w:szCs w:val="21"/>
                <w:lang w:val="en-US" w:eastAsia="zh-CN"/>
                <w14:textFill>
                  <w14:solidFill>
                    <w14:schemeClr w14:val="tx1"/>
                  </w14:solidFill>
                </w14:textFill>
              </w:rPr>
            </w:pPr>
            <w:r>
              <w:rPr>
                <w:rFonts w:hint="eastAsia" w:cs="Arial"/>
                <w:color w:val="000000" w:themeColor="text1"/>
                <w:szCs w:val="21"/>
                <w14:textFill>
                  <w14:solidFill>
                    <w14:schemeClr w14:val="tx1"/>
                  </w14:solidFill>
                </w14:textFill>
              </w:rPr>
              <w:t>水利部水利水电规划设计总院教授级高工刘卓颖</w:t>
            </w:r>
            <w:r>
              <w:rPr>
                <w:rFonts w:hint="eastAsia" w:cs="Arial"/>
                <w:color w:val="000000" w:themeColor="text1"/>
                <w:szCs w:val="21"/>
                <w:lang w:val="en-US" w:eastAsia="zh-CN"/>
                <w14:textFill>
                  <w14:solidFill>
                    <w14:schemeClr w14:val="tx1"/>
                  </w14:solidFill>
                </w14:textFill>
              </w:rPr>
              <w:t>主讲。</w:t>
            </w:r>
          </w:p>
          <w:p>
            <w:pPr>
              <w:widowControl/>
              <w:spacing w:line="240" w:lineRule="auto"/>
              <w:rPr>
                <w:rFonts w:hint="eastAsia" w:cs="Arial"/>
                <w:color w:val="000000" w:themeColor="text1"/>
                <w:szCs w:val="21"/>
                <w14:textFill>
                  <w14:solidFill>
                    <w14:schemeClr w14:val="tx1"/>
                  </w14:solidFill>
                </w14:textFill>
              </w:rPr>
            </w:pPr>
            <w:r>
              <w:rPr>
                <w:rFonts w:hint="eastAsia" w:cs="Arial"/>
                <w:color w:val="000000" w:themeColor="text1"/>
                <w:szCs w:val="21"/>
                <w14:textFill>
                  <w14:solidFill>
                    <w14:schemeClr w14:val="tx1"/>
                  </w14:solidFill>
                </w14:textFill>
              </w:rPr>
              <w:t>课程内容：水库移民后期扶持监测评估工作依据、政策规定和背景、主要任务、费用来源；省级监测评估实施情况介绍；监测评估工作存在的问题与建议。</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3</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120" w:beforeLines="50" w:after="120" w:afterLines="50" w:line="240" w:lineRule="auto"/>
              <w:rPr>
                <w:rFonts w:hint="eastAsia"/>
                <w:b/>
                <w:color w:val="000000" w:themeColor="text1"/>
                <w:szCs w:val="21"/>
                <w14:textFill>
                  <w14:solidFill>
                    <w14:schemeClr w14:val="tx1"/>
                  </w14:solidFill>
                </w14:textFill>
              </w:rPr>
            </w:pPr>
          </w:p>
        </w:tc>
      </w:tr>
      <w:tr>
        <w:tblPrEx>
          <w:tblLayout w:type="fixed"/>
          <w:tblCellMar>
            <w:top w:w="0" w:type="dxa"/>
            <w:left w:w="108" w:type="dxa"/>
            <w:bottom w:w="0" w:type="dxa"/>
            <w:right w:w="108" w:type="dxa"/>
          </w:tblCellMar>
        </w:tblPrEx>
        <w:trPr>
          <w:trHeight w:val="1506"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5</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水利水电工程征地移民相关政策解析</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cs="Arial"/>
                <w:color w:val="000000" w:themeColor="text1"/>
                <w:szCs w:val="21"/>
                <w:lang w:val="en-US" w:eastAsia="zh-CN"/>
                <w14:textFill>
                  <w14:solidFill>
                    <w14:schemeClr w14:val="tx1"/>
                  </w14:solidFill>
                </w14:textFill>
              </w:rPr>
            </w:pPr>
            <w:r>
              <w:rPr>
                <w:rFonts w:hint="eastAsia" w:cs="Arial"/>
                <w:color w:val="000000" w:themeColor="text1"/>
                <w:szCs w:val="21"/>
                <w14:textFill>
                  <w14:solidFill>
                    <w14:schemeClr w14:val="tx1"/>
                  </w14:solidFill>
                </w14:textFill>
              </w:rPr>
              <w:t>水利部水利水电规划设计总院教授级高工刘卓颖</w:t>
            </w:r>
            <w:r>
              <w:rPr>
                <w:rFonts w:hint="eastAsia" w:cs="Arial"/>
                <w:color w:val="000000" w:themeColor="text1"/>
                <w:szCs w:val="21"/>
                <w:lang w:val="en-US" w:eastAsia="zh-CN"/>
                <w14:textFill>
                  <w14:solidFill>
                    <w14:schemeClr w14:val="tx1"/>
                  </w14:solidFill>
                </w14:textFill>
              </w:rPr>
              <w:t>主讲。</w:t>
            </w:r>
          </w:p>
          <w:p>
            <w:pPr>
              <w:widowControl/>
              <w:spacing w:line="240" w:lineRule="auto"/>
              <w:rPr>
                <w:rFonts w:hint="eastAsia" w:cs="Arial"/>
                <w:color w:val="000000" w:themeColor="text1"/>
                <w:szCs w:val="21"/>
                <w14:textFill>
                  <w14:solidFill>
                    <w14:schemeClr w14:val="tx1"/>
                  </w14:solidFill>
                </w14:textFill>
              </w:rPr>
            </w:pPr>
            <w:r>
              <w:rPr>
                <w:rFonts w:hint="eastAsia" w:cs="Arial"/>
                <w:color w:val="000000" w:themeColor="text1"/>
                <w:szCs w:val="21"/>
                <w14:textFill>
                  <w14:solidFill>
                    <w14:schemeClr w14:val="tx1"/>
                  </w14:solidFill>
                </w14:textFill>
              </w:rPr>
              <w:t>课程内容：与水利水电工程建设征地及移民安置工作相关的国家及相关部委宏观政策解析，主要包括《大中型水利水电工程建设征地补偿和移民安置条例》《大中型水利水电工程移民安置前期工作管理暂行办法》《土地管理法》《关于加大用地政策支持力度促进大中型水利水电工程建设的意见》等。</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4</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120" w:beforeLines="50" w:after="120" w:afterLines="50" w:line="240" w:lineRule="auto"/>
              <w:rPr>
                <w:rFonts w:hint="eastAsia"/>
                <w:b/>
                <w:color w:val="000000" w:themeColor="text1"/>
                <w:szCs w:val="21"/>
                <w14:textFill>
                  <w14:solidFill>
                    <w14:schemeClr w14:val="tx1"/>
                  </w14:solidFill>
                </w14:textFill>
              </w:rPr>
            </w:pPr>
          </w:p>
        </w:tc>
      </w:tr>
      <w:tr>
        <w:tblPrEx>
          <w:tblLayout w:type="fixed"/>
          <w:tblCellMar>
            <w:top w:w="0" w:type="dxa"/>
            <w:left w:w="108" w:type="dxa"/>
            <w:bottom w:w="0" w:type="dxa"/>
            <w:right w:w="108" w:type="dxa"/>
          </w:tblCellMar>
        </w:tblPrEx>
        <w:trPr>
          <w:trHeight w:val="552"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6</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节水评价技术交流</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cs="Arial"/>
                <w:color w:val="000000" w:themeColor="text1"/>
                <w:szCs w:val="21"/>
                <w14:textFill>
                  <w14:solidFill>
                    <w14:schemeClr w14:val="tx1"/>
                  </w14:solidFill>
                </w14:textFill>
              </w:rPr>
            </w:pPr>
            <w:r>
              <w:rPr>
                <w:rFonts w:hint="eastAsia" w:cs="Arial"/>
                <w:color w:val="000000" w:themeColor="text1"/>
                <w:szCs w:val="21"/>
                <w14:textFill>
                  <w14:solidFill>
                    <w14:schemeClr w14:val="tx1"/>
                  </w14:solidFill>
                </w14:textFill>
              </w:rPr>
              <w:t>水利部水利水电规划设计总院副处长、教授级高级工程师，中国水利水电科学研究院博士生导师汪党献</w:t>
            </w:r>
            <w:r>
              <w:rPr>
                <w:rFonts w:hint="eastAsia" w:cs="Arial"/>
                <w:color w:val="000000" w:themeColor="text1"/>
                <w:szCs w:val="21"/>
                <w:lang w:val="en-US" w:eastAsia="zh-CN"/>
                <w14:textFill>
                  <w14:solidFill>
                    <w14:schemeClr w14:val="tx1"/>
                  </w14:solidFill>
                </w14:textFill>
              </w:rPr>
              <w:t>主讲</w:t>
            </w:r>
            <w:r>
              <w:rPr>
                <w:rFonts w:hint="eastAsia" w:cs="Arial"/>
                <w:color w:val="000000" w:themeColor="text1"/>
                <w:szCs w:val="21"/>
                <w14:textFill>
                  <w14:solidFill>
                    <w14:schemeClr w14:val="tx1"/>
                  </w14:solidFill>
                </w14:textFill>
              </w:rPr>
              <w:t>。</w:t>
            </w:r>
          </w:p>
          <w:p>
            <w:pPr>
              <w:widowControl/>
              <w:spacing w:line="240" w:lineRule="auto"/>
              <w:rPr>
                <w:rFonts w:hint="eastAsia" w:cs="Arial"/>
                <w:color w:val="000000" w:themeColor="text1"/>
                <w:szCs w:val="21"/>
                <w14:textFill>
                  <w14:solidFill>
                    <w14:schemeClr w14:val="tx1"/>
                  </w14:solidFill>
                </w14:textFill>
              </w:rPr>
            </w:pPr>
            <w:r>
              <w:rPr>
                <w:rFonts w:hint="eastAsia" w:cs="Arial"/>
                <w:color w:val="000000" w:themeColor="text1"/>
                <w:szCs w:val="21"/>
                <w14:textFill>
                  <w14:solidFill>
                    <w14:schemeClr w14:val="tx1"/>
                  </w14:solidFill>
                </w14:textFill>
              </w:rPr>
              <w:t>课程内容：我国节水现状、存在问题及新时期对节水的要求；对节水的认知与思考；开展节水评价背景及重要意义；环境影响评价对节水评价的启示；规划与建设项目节水评价技术要点解读。</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3</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120" w:beforeLines="50" w:after="120" w:afterLines="50" w:line="240" w:lineRule="auto"/>
              <w:rPr>
                <w:rFonts w:hint="eastAsia"/>
                <w:b/>
                <w:color w:val="000000" w:themeColor="text1"/>
                <w:szCs w:val="21"/>
                <w14:textFill>
                  <w14:solidFill>
                    <w14:schemeClr w14:val="tx1"/>
                  </w14:solidFill>
                </w14:textFill>
              </w:rPr>
            </w:pPr>
          </w:p>
        </w:tc>
      </w:tr>
      <w:tr>
        <w:tblPrEx>
          <w:tblLayout w:type="fixed"/>
          <w:tblCellMar>
            <w:top w:w="0" w:type="dxa"/>
            <w:left w:w="108" w:type="dxa"/>
            <w:bottom w:w="0" w:type="dxa"/>
            <w:right w:w="108" w:type="dxa"/>
          </w:tblCellMar>
        </w:tblPrEx>
        <w:trPr>
          <w:trHeight w:val="2228"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7</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水肥一体化从理念到应用</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cs="Arial"/>
                <w:color w:val="000000" w:themeColor="text1"/>
                <w:szCs w:val="21"/>
                <w:lang w:val="en-US" w:eastAsia="zh-CN"/>
                <w14:textFill>
                  <w14:solidFill>
                    <w14:schemeClr w14:val="tx1"/>
                  </w14:solidFill>
                </w14:textFill>
              </w:rPr>
            </w:pPr>
            <w:r>
              <w:rPr>
                <w:rFonts w:hint="eastAsia" w:cs="Arial"/>
                <w:color w:val="000000" w:themeColor="text1"/>
                <w:szCs w:val="21"/>
                <w14:textFill>
                  <w14:solidFill>
                    <w14:schemeClr w14:val="tx1"/>
                  </w14:solidFill>
                </w14:textFill>
              </w:rPr>
              <w:t>中国水利水电科学研究院水利所灌溉技术室主任，国家农业灌排设备质量监督检验中心副主任，教授级高工栗岩峰</w:t>
            </w:r>
            <w:r>
              <w:rPr>
                <w:rFonts w:hint="eastAsia" w:cs="Arial"/>
                <w:color w:val="000000" w:themeColor="text1"/>
                <w:szCs w:val="21"/>
                <w:lang w:val="en-US" w:eastAsia="zh-CN"/>
                <w14:textFill>
                  <w14:solidFill>
                    <w14:schemeClr w14:val="tx1"/>
                  </w14:solidFill>
                </w14:textFill>
              </w:rPr>
              <w:t>主讲。</w:t>
            </w:r>
          </w:p>
          <w:p>
            <w:pPr>
              <w:widowControl/>
              <w:spacing w:line="240" w:lineRule="auto"/>
              <w:rPr>
                <w:rFonts w:hint="eastAsia"/>
                <w:b/>
                <w:color w:val="000000" w:themeColor="text1"/>
                <w:szCs w:val="21"/>
                <w14:textFill>
                  <w14:solidFill>
                    <w14:schemeClr w14:val="tx1"/>
                  </w14:solidFill>
                </w14:textFill>
              </w:rPr>
            </w:pPr>
            <w:r>
              <w:rPr>
                <w:rFonts w:hint="eastAsia" w:cs="Arial"/>
                <w:color w:val="000000" w:themeColor="text1"/>
                <w:szCs w:val="21"/>
                <w14:textFill>
                  <w14:solidFill>
                    <w14:schemeClr w14:val="tx1"/>
                  </w14:solidFill>
                </w14:textFill>
              </w:rPr>
              <w:t>课程内容：围绕灌溉水肥一体化管理与调控需要解决的关键问题，详细介绍水肥一体化技术的发展历程和基本知识，从施肥种植性能结构参数优化、水分和溶质在土壤中的运移规律、作物对水氮的响应特征及喷滴灌技术参数调控等四个方面，系统讲解了水肥一体化的最新研究成果。针对水肥一体化技术应用中出现的设备选型、系统运行管理模式、均匀系数标准确定、非均质土壤中技术参数优化等难点问题，深入分析了技术原理与解决方案，并对水肥一体化技术的发展趋势进行了展望。</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1.5</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120" w:beforeLines="50" w:after="120" w:afterLines="50" w:line="240" w:lineRule="auto"/>
              <w:rPr>
                <w:rFonts w:hint="eastAsia"/>
                <w:b/>
                <w:color w:val="000000" w:themeColor="text1"/>
                <w:szCs w:val="21"/>
                <w14:textFill>
                  <w14:solidFill>
                    <w14:schemeClr w14:val="tx1"/>
                  </w14:solidFill>
                </w14:textFill>
              </w:rPr>
            </w:pPr>
          </w:p>
        </w:tc>
      </w:tr>
      <w:tr>
        <w:tblPrEx>
          <w:tblLayout w:type="fixed"/>
          <w:tblCellMar>
            <w:top w:w="0" w:type="dxa"/>
            <w:left w:w="108" w:type="dxa"/>
            <w:bottom w:w="0" w:type="dxa"/>
            <w:right w:w="108" w:type="dxa"/>
          </w:tblCellMar>
        </w:tblPrEx>
        <w:trPr>
          <w:trHeight w:val="1441"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8</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生产建设项目土壤流失定量计算模型</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cs="Arial"/>
                <w:color w:val="000000" w:themeColor="text1"/>
                <w:szCs w:val="21"/>
                <w14:textFill>
                  <w14:solidFill>
                    <w14:schemeClr w14:val="tx1"/>
                  </w14:solidFill>
                </w14:textFill>
              </w:rPr>
            </w:pPr>
            <w:r>
              <w:rPr>
                <w:rFonts w:hint="eastAsia" w:cs="Arial"/>
                <w:color w:val="000000" w:themeColor="text1"/>
                <w:szCs w:val="21"/>
                <w14:textFill>
                  <w14:solidFill>
                    <w14:schemeClr w14:val="tx1"/>
                  </w14:solidFill>
                </w14:textFill>
              </w:rPr>
              <w:t>国际泥沙研究培训中心副主任、教授级高工，兼任世界水土保持学会主席，中国水土保持学会常务理事、国际合作工作委员会主任委员宁堆虎</w:t>
            </w:r>
            <w:r>
              <w:rPr>
                <w:rFonts w:hint="eastAsia" w:cs="Arial"/>
                <w:color w:val="000000" w:themeColor="text1"/>
                <w:szCs w:val="21"/>
                <w:lang w:val="en-US" w:eastAsia="zh-CN"/>
                <w14:textFill>
                  <w14:solidFill>
                    <w14:schemeClr w14:val="tx1"/>
                  </w14:solidFill>
                </w14:textFill>
              </w:rPr>
              <w:t>主讲</w:t>
            </w:r>
            <w:r>
              <w:rPr>
                <w:rFonts w:hint="eastAsia" w:cs="Arial"/>
                <w:color w:val="000000" w:themeColor="text1"/>
                <w:szCs w:val="21"/>
                <w14:textFill>
                  <w14:solidFill>
                    <w14:schemeClr w14:val="tx1"/>
                  </w14:solidFill>
                </w14:textFill>
              </w:rPr>
              <w:t>。</w:t>
            </w:r>
          </w:p>
          <w:p>
            <w:pPr>
              <w:widowControl/>
              <w:spacing w:line="240" w:lineRule="auto"/>
              <w:rPr>
                <w:rFonts w:hint="eastAsia" w:cs="Arial"/>
                <w:color w:val="000000" w:themeColor="text1"/>
                <w:szCs w:val="21"/>
                <w14:textFill>
                  <w14:solidFill>
                    <w14:schemeClr w14:val="tx1"/>
                  </w14:solidFill>
                </w14:textFill>
              </w:rPr>
            </w:pPr>
            <w:r>
              <w:rPr>
                <w:rFonts w:hint="eastAsia" w:cs="Arial"/>
                <w:color w:val="000000" w:themeColor="text1"/>
                <w:szCs w:val="21"/>
                <w14:textFill>
                  <w14:solidFill>
                    <w14:schemeClr w14:val="tx1"/>
                  </w14:solidFill>
                </w14:textFill>
              </w:rPr>
              <w:t>课程内容：土壤的形成和作用，《水土保持法》对生产建设项目水土保持监测的要求，生产建设项目土壤流失类型划分，一般扰动、工程开挖面、工程规程体以及风蚀作用下的生产建设项目土壤流失量计算模型，生产建设项目土壤流失量测算流程及模型应用。</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4</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120" w:beforeLines="50" w:after="120" w:afterLines="50" w:line="240" w:lineRule="auto"/>
              <w:rPr>
                <w:rFonts w:hint="eastAsia"/>
                <w:b/>
                <w:color w:val="000000" w:themeColor="text1"/>
                <w:szCs w:val="21"/>
                <w14:textFill>
                  <w14:solidFill>
                    <w14:schemeClr w14:val="tx1"/>
                  </w14:solidFill>
                </w14:textFill>
              </w:rPr>
            </w:pPr>
          </w:p>
        </w:tc>
      </w:tr>
      <w:tr>
        <w:tblPrEx>
          <w:tblLayout w:type="fixed"/>
          <w:tblCellMar>
            <w:top w:w="0" w:type="dxa"/>
            <w:left w:w="108" w:type="dxa"/>
            <w:bottom w:w="0" w:type="dxa"/>
            <w:right w:w="108" w:type="dxa"/>
          </w:tblCellMar>
        </w:tblPrEx>
        <w:trPr>
          <w:trHeight w:val="927"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9</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除黄河水害，兴黄河水利</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cs="Arial"/>
                <w:color w:val="000000" w:themeColor="text1"/>
                <w:szCs w:val="21"/>
                <w:lang w:val="en-US" w:eastAsia="zh-CN"/>
                <w14:textFill>
                  <w14:solidFill>
                    <w14:schemeClr w14:val="tx1"/>
                  </w14:solidFill>
                </w14:textFill>
              </w:rPr>
            </w:pPr>
            <w:r>
              <w:rPr>
                <w:rFonts w:hint="eastAsia" w:cs="Arial"/>
                <w:color w:val="000000" w:themeColor="text1"/>
                <w:szCs w:val="21"/>
                <w14:textFill>
                  <w14:solidFill>
                    <w14:schemeClr w14:val="tx1"/>
                  </w14:solidFill>
                </w14:textFill>
              </w:rPr>
              <w:t>水利部黄河水利委员会原副总工程师胡一三</w:t>
            </w:r>
            <w:r>
              <w:rPr>
                <w:rFonts w:hint="eastAsia" w:cs="Arial"/>
                <w:color w:val="000000" w:themeColor="text1"/>
                <w:szCs w:val="21"/>
                <w:lang w:val="en-US" w:eastAsia="zh-CN"/>
                <w14:textFill>
                  <w14:solidFill>
                    <w14:schemeClr w14:val="tx1"/>
                  </w14:solidFill>
                </w14:textFill>
              </w:rPr>
              <w:t>主讲。</w:t>
            </w:r>
          </w:p>
          <w:p>
            <w:pPr>
              <w:widowControl/>
              <w:spacing w:line="240" w:lineRule="auto"/>
              <w:rPr>
                <w:rFonts w:hint="eastAsia" w:cs="Arial"/>
                <w:color w:val="000000" w:themeColor="text1"/>
                <w:szCs w:val="21"/>
                <w14:textFill>
                  <w14:solidFill>
                    <w14:schemeClr w14:val="tx1"/>
                  </w14:solidFill>
                </w14:textFill>
              </w:rPr>
            </w:pPr>
            <w:r>
              <w:rPr>
                <w:rFonts w:hint="eastAsia" w:cs="Arial"/>
                <w:color w:val="000000" w:themeColor="text1"/>
                <w:szCs w:val="21"/>
                <w14:textFill>
                  <w14:solidFill>
                    <w14:schemeClr w14:val="tx1"/>
                  </w14:solidFill>
                </w14:textFill>
              </w:rPr>
              <w:t>课程内容：从黄河的概况和黄河水灾的历史、防洪方略和防洪工程体系的建设、防洪如何促进黄河两岸经济发展等方面详细诠释了除黄河水害、兴黄河水利的含义。</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3.5</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120" w:beforeLines="50" w:after="120" w:afterLines="50" w:line="240" w:lineRule="auto"/>
              <w:rPr>
                <w:rFonts w:hint="eastAsia"/>
                <w:b/>
                <w:color w:val="000000" w:themeColor="text1"/>
                <w:szCs w:val="21"/>
                <w14:textFill>
                  <w14:solidFill>
                    <w14:schemeClr w14:val="tx1"/>
                  </w14:solidFill>
                </w14:textFill>
              </w:rPr>
            </w:pPr>
          </w:p>
        </w:tc>
      </w:tr>
      <w:tr>
        <w:tblPrEx>
          <w:tblLayout w:type="fixed"/>
          <w:tblCellMar>
            <w:top w:w="0" w:type="dxa"/>
            <w:left w:w="108" w:type="dxa"/>
            <w:bottom w:w="0" w:type="dxa"/>
            <w:right w:w="108" w:type="dxa"/>
          </w:tblCellMar>
        </w:tblPrEx>
        <w:trPr>
          <w:trHeight w:val="942"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10</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国运泰否话黄河</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cs="Arial"/>
                <w:color w:val="000000" w:themeColor="text1"/>
                <w:szCs w:val="21"/>
                <w:lang w:val="en-US" w:eastAsia="zh-CN"/>
                <w14:textFill>
                  <w14:solidFill>
                    <w14:schemeClr w14:val="tx1"/>
                  </w14:solidFill>
                </w14:textFill>
              </w:rPr>
            </w:pPr>
            <w:r>
              <w:rPr>
                <w:rFonts w:hint="eastAsia" w:cs="Arial"/>
                <w:color w:val="000000" w:themeColor="text1"/>
                <w:szCs w:val="21"/>
                <w14:textFill>
                  <w14:solidFill>
                    <w14:schemeClr w14:val="tx1"/>
                  </w14:solidFill>
                </w14:textFill>
              </w:rPr>
              <w:t>水利部黄河水利委员会黄河工会原常务副主席陈维达</w:t>
            </w:r>
            <w:r>
              <w:rPr>
                <w:rFonts w:hint="eastAsia" w:cs="Arial"/>
                <w:color w:val="000000" w:themeColor="text1"/>
                <w:szCs w:val="21"/>
                <w:lang w:val="en-US" w:eastAsia="zh-CN"/>
                <w14:textFill>
                  <w14:solidFill>
                    <w14:schemeClr w14:val="tx1"/>
                  </w14:solidFill>
                </w14:textFill>
              </w:rPr>
              <w:t>主讲，</w:t>
            </w:r>
          </w:p>
          <w:p>
            <w:pPr>
              <w:widowControl/>
              <w:spacing w:line="240" w:lineRule="auto"/>
              <w:rPr>
                <w:rFonts w:hint="eastAsia"/>
                <w:b/>
                <w:color w:val="000000" w:themeColor="text1"/>
                <w:szCs w:val="21"/>
                <w14:textFill>
                  <w14:solidFill>
                    <w14:schemeClr w14:val="tx1"/>
                  </w14:solidFill>
                </w14:textFill>
              </w:rPr>
            </w:pPr>
            <w:r>
              <w:rPr>
                <w:rFonts w:hint="eastAsia" w:cs="Arial"/>
                <w:color w:val="000000" w:themeColor="text1"/>
                <w:szCs w:val="21"/>
                <w14:textFill>
                  <w14:solidFill>
                    <w14:schemeClr w14:val="tx1"/>
                  </w14:solidFill>
                </w14:textFill>
              </w:rPr>
              <w:t>课程内容：中国古代与黄河洪水抗争史，包括文明曙光光耀于大河之畔、天府之富得益于大河之利、洪旱之灾忧患于大河之下、江山永固必治于大河上下等内容。</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3</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120" w:beforeLines="50" w:after="120" w:afterLines="50" w:line="240" w:lineRule="auto"/>
              <w:rPr>
                <w:rFonts w:hint="eastAsia"/>
                <w:b/>
                <w:color w:val="000000" w:themeColor="text1"/>
                <w:szCs w:val="21"/>
                <w14:textFill>
                  <w14:solidFill>
                    <w14:schemeClr w14:val="tx1"/>
                  </w14:solidFill>
                </w14:textFill>
              </w:rPr>
            </w:pPr>
          </w:p>
        </w:tc>
      </w:tr>
      <w:tr>
        <w:tblPrEx>
          <w:tblLayout w:type="fixed"/>
          <w:tblCellMar>
            <w:top w:w="0" w:type="dxa"/>
            <w:left w:w="108" w:type="dxa"/>
            <w:bottom w:w="0" w:type="dxa"/>
            <w:right w:w="108" w:type="dxa"/>
          </w:tblCellMar>
        </w:tblPrEx>
        <w:trPr>
          <w:trHeight w:val="837"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11</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中国山洪灾害防御理论技术与实践</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cs="Arial"/>
                <w:color w:val="000000" w:themeColor="text1"/>
                <w:szCs w:val="21"/>
                <w:lang w:val="en-US" w:eastAsia="zh-CN"/>
                <w14:textFill>
                  <w14:solidFill>
                    <w14:schemeClr w14:val="tx1"/>
                  </w14:solidFill>
                </w14:textFill>
              </w:rPr>
            </w:pPr>
            <w:r>
              <w:rPr>
                <w:rFonts w:hint="eastAsia" w:cs="Arial"/>
                <w:color w:val="000000" w:themeColor="text1"/>
                <w:szCs w:val="21"/>
                <w14:textFill>
                  <w14:solidFill>
                    <w14:schemeClr w14:val="tx1"/>
                  </w14:solidFill>
                </w14:textFill>
              </w:rPr>
              <w:t>中国水利水电科学研究院减灾中心教授级高工刘昌军</w:t>
            </w:r>
            <w:r>
              <w:rPr>
                <w:rFonts w:hint="eastAsia" w:cs="Arial"/>
                <w:color w:val="000000" w:themeColor="text1"/>
                <w:szCs w:val="21"/>
                <w:lang w:val="en-US" w:eastAsia="zh-CN"/>
                <w14:textFill>
                  <w14:solidFill>
                    <w14:schemeClr w14:val="tx1"/>
                  </w14:solidFill>
                </w14:textFill>
              </w:rPr>
              <w:t>主讲，</w:t>
            </w:r>
          </w:p>
          <w:p>
            <w:pPr>
              <w:widowControl/>
              <w:spacing w:line="240" w:lineRule="auto"/>
              <w:rPr>
                <w:rFonts w:hint="eastAsia" w:cs="Arial"/>
                <w:color w:val="000000" w:themeColor="text1"/>
                <w:szCs w:val="21"/>
                <w14:textFill>
                  <w14:solidFill>
                    <w14:schemeClr w14:val="tx1"/>
                  </w14:solidFill>
                </w14:textFill>
              </w:rPr>
            </w:pPr>
            <w:r>
              <w:rPr>
                <w:rFonts w:hint="eastAsia" w:cs="Arial"/>
                <w:color w:val="000000" w:themeColor="text1"/>
                <w:szCs w:val="21"/>
                <w14:textFill>
                  <w14:solidFill>
                    <w14:schemeClr w14:val="tx1"/>
                  </w14:solidFill>
                </w14:textFill>
              </w:rPr>
              <w:t>课程内容：从项目建设过程、理论技术体系和关键技术应用等三个方面详细介绍了中国山洪灾害监测预警技术。</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1.5</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120" w:beforeLines="50" w:after="120" w:afterLines="50" w:line="240" w:lineRule="auto"/>
              <w:rPr>
                <w:rFonts w:hint="eastAsia"/>
                <w:b/>
                <w:color w:val="000000" w:themeColor="text1"/>
                <w:szCs w:val="21"/>
                <w14:textFill>
                  <w14:solidFill>
                    <w14:schemeClr w14:val="tx1"/>
                  </w14:solidFill>
                </w14:textFill>
              </w:rPr>
            </w:pPr>
          </w:p>
        </w:tc>
      </w:tr>
      <w:tr>
        <w:tblPrEx>
          <w:tblLayout w:type="fixed"/>
          <w:tblCellMar>
            <w:top w:w="0" w:type="dxa"/>
            <w:left w:w="108" w:type="dxa"/>
            <w:bottom w:w="0" w:type="dxa"/>
            <w:right w:w="108" w:type="dxa"/>
          </w:tblCellMar>
        </w:tblPrEx>
        <w:trPr>
          <w:trHeight w:val="882"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12</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农村饮用水水源保护与水处理工艺选择</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cs="Arial"/>
                <w:color w:val="000000" w:themeColor="text1"/>
                <w:szCs w:val="21"/>
                <w:lang w:val="en-US" w:eastAsia="zh-CN"/>
                <w14:textFill>
                  <w14:solidFill>
                    <w14:schemeClr w14:val="tx1"/>
                  </w14:solidFill>
                </w14:textFill>
              </w:rPr>
            </w:pPr>
            <w:r>
              <w:rPr>
                <w:rFonts w:hint="eastAsia" w:cs="Arial"/>
                <w:color w:val="000000" w:themeColor="text1"/>
                <w:szCs w:val="21"/>
                <w14:textFill>
                  <w14:solidFill>
                    <w14:schemeClr w14:val="tx1"/>
                  </w14:solidFill>
                </w14:textFill>
              </w:rPr>
              <w:t>中国水利水电科学研究院水利所农村供水与排水室主任、教授级高工邬晓梅</w:t>
            </w:r>
            <w:r>
              <w:rPr>
                <w:rFonts w:hint="eastAsia" w:cs="Arial"/>
                <w:color w:val="000000" w:themeColor="text1"/>
                <w:szCs w:val="21"/>
                <w:lang w:val="en-US" w:eastAsia="zh-CN"/>
                <w14:textFill>
                  <w14:solidFill>
                    <w14:schemeClr w14:val="tx1"/>
                  </w14:solidFill>
                </w14:textFill>
              </w:rPr>
              <w:t>主讲。</w:t>
            </w:r>
          </w:p>
          <w:p>
            <w:pPr>
              <w:widowControl/>
              <w:spacing w:line="240" w:lineRule="auto"/>
              <w:rPr>
                <w:rFonts w:hint="eastAsia" w:cs="Arial"/>
                <w:color w:val="000000" w:themeColor="text1"/>
                <w:szCs w:val="21"/>
                <w14:textFill>
                  <w14:solidFill>
                    <w14:schemeClr w14:val="tx1"/>
                  </w14:solidFill>
                </w14:textFill>
              </w:rPr>
            </w:pPr>
            <w:r>
              <w:rPr>
                <w:rFonts w:hint="eastAsia" w:cs="Arial"/>
                <w:color w:val="000000" w:themeColor="text1"/>
                <w:szCs w:val="21"/>
                <w14:textFill>
                  <w14:solidFill>
                    <w14:schemeClr w14:val="tx1"/>
                  </w14:solidFill>
                </w14:textFill>
              </w:rPr>
              <w:t>课程内容：农村供水饮用水水源特点及水污染现状，水源政策法规与文件标准，水源选择与保护基本原则，水源保护与水污染防护技术，地表水处理工艺选择，地下水处理工艺选择等。</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3</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120" w:beforeLines="50" w:after="120" w:afterLines="50" w:line="240" w:lineRule="auto"/>
              <w:rPr>
                <w:rFonts w:hint="eastAsia"/>
                <w:b/>
                <w:color w:val="000000" w:themeColor="text1"/>
                <w:szCs w:val="21"/>
                <w14:textFill>
                  <w14:solidFill>
                    <w14:schemeClr w14:val="tx1"/>
                  </w14:solidFill>
                </w14:textFill>
              </w:rPr>
            </w:pPr>
          </w:p>
        </w:tc>
      </w:tr>
      <w:tr>
        <w:tblPrEx>
          <w:tblLayout w:type="fixed"/>
          <w:tblCellMar>
            <w:top w:w="0" w:type="dxa"/>
            <w:left w:w="108" w:type="dxa"/>
            <w:bottom w:w="0" w:type="dxa"/>
            <w:right w:w="108" w:type="dxa"/>
          </w:tblCellMar>
        </w:tblPrEx>
        <w:trPr>
          <w:trHeight w:val="1441"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13</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遥感技术及其在河湖监管中的应用</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cs="Arial"/>
                <w:color w:val="000000" w:themeColor="text1"/>
                <w:szCs w:val="21"/>
                <w:lang w:val="en-US" w:eastAsia="zh-CN"/>
                <w14:textFill>
                  <w14:solidFill>
                    <w14:schemeClr w14:val="tx1"/>
                  </w14:solidFill>
                </w14:textFill>
              </w:rPr>
            </w:pPr>
            <w:r>
              <w:rPr>
                <w:rFonts w:hint="eastAsia" w:cs="Arial"/>
                <w:color w:val="000000" w:themeColor="text1"/>
                <w:szCs w:val="21"/>
                <w14:textFill>
                  <w14:solidFill>
                    <w14:schemeClr w14:val="tx1"/>
                  </w14:solidFill>
                </w14:textFill>
              </w:rPr>
              <w:t>中国水利水电科学研究院教授级高级工程师黄诗峰</w:t>
            </w:r>
            <w:r>
              <w:rPr>
                <w:rFonts w:hint="eastAsia" w:cs="Arial"/>
                <w:color w:val="000000" w:themeColor="text1"/>
                <w:szCs w:val="21"/>
                <w:lang w:val="en-US" w:eastAsia="zh-CN"/>
                <w14:textFill>
                  <w14:solidFill>
                    <w14:schemeClr w14:val="tx1"/>
                  </w14:solidFill>
                </w14:textFill>
              </w:rPr>
              <w:t>主讲。</w:t>
            </w:r>
          </w:p>
          <w:p>
            <w:pPr>
              <w:widowControl/>
              <w:spacing w:line="240" w:lineRule="auto"/>
              <w:rPr>
                <w:rFonts w:hint="eastAsia" w:cs="Arial"/>
                <w:color w:val="000000" w:themeColor="text1"/>
                <w:szCs w:val="21"/>
                <w14:textFill>
                  <w14:solidFill>
                    <w14:schemeClr w14:val="tx1"/>
                  </w14:solidFill>
                </w14:textFill>
              </w:rPr>
            </w:pPr>
            <w:r>
              <w:rPr>
                <w:rFonts w:hint="eastAsia" w:cs="Arial"/>
                <w:color w:val="000000" w:themeColor="text1"/>
                <w:szCs w:val="21"/>
                <w14:textFill>
                  <w14:solidFill>
                    <w14:schemeClr w14:val="tx1"/>
                  </w14:solidFill>
                </w14:textFill>
              </w:rPr>
              <w:t>课程内容：遥感技术在河湖监管四个方面的应用，包括江河湖泊水域面积遥感监测、河湖岸线、河口遥感监测、江河湖泊水质遥感监测以及江河湖泊疑似违法遥感监测；以湖北湖泊卫星遥感监测以及山东省河道空天地一体化水域岸线监测作为典型案例，展示了河湖监管遥感应用的效果。</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1.5</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120" w:beforeLines="50" w:after="120" w:afterLines="50" w:line="240" w:lineRule="auto"/>
              <w:rPr>
                <w:rFonts w:hint="eastAsia"/>
                <w:b/>
                <w:color w:val="000000" w:themeColor="text1"/>
                <w:szCs w:val="21"/>
                <w14:textFill>
                  <w14:solidFill>
                    <w14:schemeClr w14:val="tx1"/>
                  </w14:solidFill>
                </w14:textFill>
              </w:rPr>
            </w:pPr>
          </w:p>
        </w:tc>
      </w:tr>
      <w:tr>
        <w:tblPrEx>
          <w:tblLayout w:type="fixed"/>
          <w:tblCellMar>
            <w:top w:w="0" w:type="dxa"/>
            <w:left w:w="108" w:type="dxa"/>
            <w:bottom w:w="0" w:type="dxa"/>
            <w:right w:w="108" w:type="dxa"/>
          </w:tblCellMar>
        </w:tblPrEx>
        <w:trPr>
          <w:trHeight w:val="897"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14</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旱情监测预警技术及应用</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cs="Arial"/>
                <w:color w:val="000000" w:themeColor="text1"/>
                <w:szCs w:val="21"/>
                <w:lang w:val="en-US" w:eastAsia="zh-CN"/>
                <w14:textFill>
                  <w14:solidFill>
                    <w14:schemeClr w14:val="tx1"/>
                  </w14:solidFill>
                </w14:textFill>
              </w:rPr>
            </w:pPr>
            <w:r>
              <w:rPr>
                <w:rFonts w:hint="eastAsia" w:cs="Arial"/>
                <w:color w:val="000000" w:themeColor="text1"/>
                <w:szCs w:val="21"/>
                <w14:textFill>
                  <w14:solidFill>
                    <w14:schemeClr w14:val="tx1"/>
                  </w14:solidFill>
                </w14:textFill>
              </w:rPr>
              <w:t>中国水科院防洪抗旱减灾中心抗旱管理与技术部主任、教授级高工苏志诚</w:t>
            </w:r>
            <w:r>
              <w:rPr>
                <w:rFonts w:hint="eastAsia" w:cs="Arial"/>
                <w:color w:val="000000" w:themeColor="text1"/>
                <w:szCs w:val="21"/>
                <w:lang w:val="en-US" w:eastAsia="zh-CN"/>
                <w14:textFill>
                  <w14:solidFill>
                    <w14:schemeClr w14:val="tx1"/>
                  </w14:solidFill>
                </w14:textFill>
              </w:rPr>
              <w:t>主讲。</w:t>
            </w:r>
          </w:p>
          <w:p>
            <w:pPr>
              <w:widowControl/>
              <w:spacing w:line="240" w:lineRule="auto"/>
              <w:rPr>
                <w:rFonts w:hint="eastAsia" w:cs="Arial"/>
                <w:color w:val="000000" w:themeColor="text1"/>
                <w:szCs w:val="21"/>
                <w14:textFill>
                  <w14:solidFill>
                    <w14:schemeClr w14:val="tx1"/>
                  </w14:solidFill>
                </w14:textFill>
              </w:rPr>
            </w:pPr>
            <w:r>
              <w:rPr>
                <w:rFonts w:hint="eastAsia" w:cs="Arial"/>
                <w:color w:val="000000" w:themeColor="text1"/>
                <w:szCs w:val="21"/>
                <w14:textFill>
                  <w14:solidFill>
                    <w14:schemeClr w14:val="tx1"/>
                  </w14:solidFill>
                </w14:textFill>
              </w:rPr>
              <w:t>课程内容：我国新形势下水旱灾害防御工作中加强水情旱情监测预警工作的新要求，我国抗旱信息化工作存在的薄弱环节，基于下垫面条件的旱情综合监测评估技术。</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1</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120" w:beforeLines="50" w:after="120" w:afterLines="50" w:line="240" w:lineRule="auto"/>
              <w:rPr>
                <w:rFonts w:hint="eastAsia"/>
                <w:b/>
                <w:color w:val="000000" w:themeColor="text1"/>
                <w:szCs w:val="21"/>
                <w14:textFill>
                  <w14:solidFill>
                    <w14:schemeClr w14:val="tx1"/>
                  </w14:solidFill>
                </w14:textFill>
              </w:rPr>
            </w:pPr>
          </w:p>
        </w:tc>
      </w:tr>
      <w:tr>
        <w:tblPrEx>
          <w:tblLayout w:type="fixed"/>
          <w:tblCellMar>
            <w:top w:w="0" w:type="dxa"/>
            <w:left w:w="108" w:type="dxa"/>
            <w:bottom w:w="0" w:type="dxa"/>
            <w:right w:w="108" w:type="dxa"/>
          </w:tblCellMar>
        </w:tblPrEx>
        <w:trPr>
          <w:trHeight w:val="882"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15</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全国水利一张图建设与应用</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cs="Arial"/>
                <w:color w:val="000000" w:themeColor="text1"/>
                <w:szCs w:val="21"/>
                <w:lang w:val="en-US" w:eastAsia="zh-CN"/>
                <w14:textFill>
                  <w14:solidFill>
                    <w14:schemeClr w14:val="tx1"/>
                  </w14:solidFill>
                </w14:textFill>
              </w:rPr>
            </w:pPr>
            <w:r>
              <w:rPr>
                <w:rFonts w:hint="eastAsia" w:cs="Arial"/>
                <w:color w:val="000000" w:themeColor="text1"/>
                <w:szCs w:val="21"/>
                <w14:textFill>
                  <w14:solidFill>
                    <w14:schemeClr w14:val="tx1"/>
                  </w14:solidFill>
                </w14:textFill>
              </w:rPr>
              <w:t>水利部信息中心水利数据中心副主任、教授级高工谢文君</w:t>
            </w:r>
            <w:r>
              <w:rPr>
                <w:rFonts w:hint="eastAsia" w:cs="Arial"/>
                <w:color w:val="000000" w:themeColor="text1"/>
                <w:szCs w:val="21"/>
                <w:lang w:val="en-US" w:eastAsia="zh-CN"/>
                <w14:textFill>
                  <w14:solidFill>
                    <w14:schemeClr w14:val="tx1"/>
                  </w14:solidFill>
                </w14:textFill>
              </w:rPr>
              <w:t>主讲。</w:t>
            </w:r>
          </w:p>
          <w:p>
            <w:pPr>
              <w:widowControl/>
              <w:spacing w:line="240" w:lineRule="auto"/>
              <w:rPr>
                <w:rFonts w:hint="eastAsia" w:cs="Arial"/>
                <w:color w:val="000000" w:themeColor="text1"/>
                <w:szCs w:val="21"/>
                <w14:textFill>
                  <w14:solidFill>
                    <w14:schemeClr w14:val="tx1"/>
                  </w14:solidFill>
                </w14:textFill>
              </w:rPr>
            </w:pPr>
            <w:r>
              <w:rPr>
                <w:rFonts w:hint="eastAsia" w:cs="Arial"/>
                <w:color w:val="000000" w:themeColor="text1"/>
                <w:szCs w:val="21"/>
                <w14:textFill>
                  <w14:solidFill>
                    <w14:schemeClr w14:val="tx1"/>
                  </w14:solidFill>
                </w14:textFill>
              </w:rPr>
              <w:t>课程内容：全国水利一张图的建设背景、总体思路、建设历程、主要特点和关键技术，以及在典型水利业务工作中的应用和服务情况。</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1.5</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120" w:beforeLines="50" w:after="120" w:afterLines="50" w:line="240" w:lineRule="auto"/>
              <w:rPr>
                <w:rFonts w:hint="eastAsia"/>
                <w:b/>
                <w:color w:val="000000" w:themeColor="text1"/>
                <w:szCs w:val="21"/>
                <w14:textFill>
                  <w14:solidFill>
                    <w14:schemeClr w14:val="tx1"/>
                  </w14:solidFill>
                </w14:textFill>
              </w:rPr>
            </w:pPr>
          </w:p>
        </w:tc>
      </w:tr>
      <w:tr>
        <w:tblPrEx>
          <w:tblLayout w:type="fixed"/>
          <w:tblCellMar>
            <w:top w:w="0" w:type="dxa"/>
            <w:left w:w="108" w:type="dxa"/>
            <w:bottom w:w="0" w:type="dxa"/>
            <w:right w:w="108" w:type="dxa"/>
          </w:tblCellMar>
        </w:tblPrEx>
        <w:trPr>
          <w:trHeight w:val="882"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16</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水利工程勘测设计失误问责办法主要内容及案例</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cs="Arial"/>
                <w:color w:val="000000" w:themeColor="text1"/>
                <w:szCs w:val="21"/>
                <w:lang w:val="en-US" w:eastAsia="zh-CN"/>
                <w14:textFill>
                  <w14:solidFill>
                    <w14:schemeClr w14:val="tx1"/>
                  </w14:solidFill>
                </w14:textFill>
              </w:rPr>
            </w:pPr>
            <w:r>
              <w:rPr>
                <w:rFonts w:hint="eastAsia" w:cs="Arial"/>
                <w:color w:val="000000" w:themeColor="text1"/>
                <w:szCs w:val="21"/>
                <w14:textFill>
                  <w14:solidFill>
                    <w14:schemeClr w14:val="tx1"/>
                  </w14:solidFill>
                </w14:textFill>
              </w:rPr>
              <w:t>水利部水利水电规划设计总院副总工程师、教授级高工何定恩</w:t>
            </w:r>
            <w:r>
              <w:rPr>
                <w:rFonts w:hint="eastAsia" w:cs="Arial"/>
                <w:color w:val="000000" w:themeColor="text1"/>
                <w:szCs w:val="21"/>
                <w:lang w:val="en-US" w:eastAsia="zh-CN"/>
                <w14:textFill>
                  <w14:solidFill>
                    <w14:schemeClr w14:val="tx1"/>
                  </w14:solidFill>
                </w14:textFill>
              </w:rPr>
              <w:t>主讲。</w:t>
            </w:r>
          </w:p>
          <w:p>
            <w:pPr>
              <w:widowControl/>
              <w:spacing w:line="240" w:lineRule="auto"/>
              <w:rPr>
                <w:rFonts w:hint="eastAsia" w:cs="Arial"/>
                <w:color w:val="000000" w:themeColor="text1"/>
                <w:szCs w:val="21"/>
                <w14:textFill>
                  <w14:solidFill>
                    <w14:schemeClr w14:val="tx1"/>
                  </w14:solidFill>
                </w14:textFill>
              </w:rPr>
            </w:pPr>
            <w:r>
              <w:rPr>
                <w:rFonts w:hint="eastAsia" w:cs="Arial"/>
                <w:color w:val="000000" w:themeColor="text1"/>
                <w:szCs w:val="21"/>
                <w14:textFill>
                  <w14:solidFill>
                    <w14:schemeClr w14:val="tx1"/>
                  </w14:solidFill>
                </w14:textFill>
              </w:rPr>
              <w:t>课程内容：《水利工程勘测设计失误问责办法（试行）》的编制背景、主要内容、案例及结论和建议。</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3</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120" w:beforeLines="50" w:after="120" w:afterLines="50" w:line="240" w:lineRule="auto"/>
              <w:rPr>
                <w:rFonts w:hint="eastAsia"/>
                <w:b/>
                <w:color w:val="000000" w:themeColor="text1"/>
                <w:szCs w:val="21"/>
                <w14:textFill>
                  <w14:solidFill>
                    <w14:schemeClr w14:val="tx1"/>
                  </w14:solidFill>
                </w14:textFill>
              </w:rPr>
            </w:pPr>
          </w:p>
        </w:tc>
      </w:tr>
      <w:tr>
        <w:tblPrEx>
          <w:tblLayout w:type="fixed"/>
          <w:tblCellMar>
            <w:top w:w="0" w:type="dxa"/>
            <w:left w:w="108" w:type="dxa"/>
            <w:bottom w:w="0" w:type="dxa"/>
            <w:right w:w="108" w:type="dxa"/>
          </w:tblCellMar>
        </w:tblPrEx>
        <w:trPr>
          <w:trHeight w:val="912"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17</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水库移民后期扶持人口核定登记</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cs="Arial"/>
                <w:color w:val="000000" w:themeColor="text1"/>
                <w:szCs w:val="21"/>
                <w:lang w:val="en-US" w:eastAsia="zh-CN"/>
                <w14:textFill>
                  <w14:solidFill>
                    <w14:schemeClr w14:val="tx1"/>
                  </w14:solidFill>
                </w14:textFill>
              </w:rPr>
            </w:pPr>
            <w:r>
              <w:rPr>
                <w:rFonts w:hint="eastAsia" w:cs="Arial"/>
                <w:color w:val="000000" w:themeColor="text1"/>
                <w:szCs w:val="21"/>
                <w14:textFill>
                  <w14:solidFill>
                    <w14:schemeClr w14:val="tx1"/>
                  </w14:solidFill>
                </w14:textFill>
              </w:rPr>
              <w:t>水利部水利水电规划设计总院教授级高工刘卓颖</w:t>
            </w:r>
            <w:r>
              <w:rPr>
                <w:rFonts w:hint="eastAsia" w:cs="Arial"/>
                <w:color w:val="000000" w:themeColor="text1"/>
                <w:szCs w:val="21"/>
                <w:lang w:val="en-US" w:eastAsia="zh-CN"/>
                <w14:textFill>
                  <w14:solidFill>
                    <w14:schemeClr w14:val="tx1"/>
                  </w14:solidFill>
                </w14:textFill>
              </w:rPr>
              <w:t>主讲。</w:t>
            </w:r>
          </w:p>
          <w:p>
            <w:pPr>
              <w:widowControl/>
              <w:spacing w:line="240" w:lineRule="auto"/>
              <w:rPr>
                <w:rFonts w:hint="eastAsia" w:cs="Arial"/>
                <w:color w:val="000000" w:themeColor="text1"/>
                <w:szCs w:val="21"/>
                <w14:textFill>
                  <w14:solidFill>
                    <w14:schemeClr w14:val="tx1"/>
                  </w14:solidFill>
                </w14:textFill>
              </w:rPr>
            </w:pPr>
            <w:r>
              <w:rPr>
                <w:rFonts w:hint="eastAsia" w:cs="Arial"/>
                <w:color w:val="000000" w:themeColor="text1"/>
                <w:szCs w:val="21"/>
                <w14:textFill>
                  <w14:solidFill>
                    <w14:schemeClr w14:val="tx1"/>
                  </w14:solidFill>
                </w14:textFill>
              </w:rPr>
              <w:t>课程内容：大中型水库农村移民后期扶持人口核定登记的政策解析、申报工作的程序、技术要求以及工作存在的问题与建议。</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4</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120" w:beforeLines="50" w:after="120" w:afterLines="50" w:line="240" w:lineRule="auto"/>
              <w:rPr>
                <w:rFonts w:hint="eastAsia"/>
                <w:b/>
                <w:color w:val="000000" w:themeColor="text1"/>
                <w:szCs w:val="21"/>
                <w14:textFill>
                  <w14:solidFill>
                    <w14:schemeClr w14:val="tx1"/>
                  </w14:solidFill>
                </w14:textFill>
              </w:rPr>
            </w:pPr>
          </w:p>
        </w:tc>
      </w:tr>
      <w:tr>
        <w:tblPrEx>
          <w:tblLayout w:type="fixed"/>
          <w:tblCellMar>
            <w:top w:w="0" w:type="dxa"/>
            <w:left w:w="108" w:type="dxa"/>
            <w:bottom w:w="0" w:type="dxa"/>
            <w:right w:w="108" w:type="dxa"/>
          </w:tblCellMar>
        </w:tblPrEx>
        <w:trPr>
          <w:trHeight w:val="552"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18</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农村饮用水水源选择与保护</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cs="Arial"/>
                <w:color w:val="000000" w:themeColor="text1"/>
                <w:szCs w:val="21"/>
                <w:lang w:val="en-US" w:eastAsia="zh-CN"/>
                <w14:textFill>
                  <w14:solidFill>
                    <w14:schemeClr w14:val="tx1"/>
                  </w14:solidFill>
                </w14:textFill>
              </w:rPr>
            </w:pPr>
            <w:r>
              <w:rPr>
                <w:rFonts w:hint="eastAsia" w:cs="Arial"/>
                <w:color w:val="000000" w:themeColor="text1"/>
                <w:szCs w:val="21"/>
                <w14:textFill>
                  <w14:solidFill>
                    <w14:schemeClr w14:val="tx1"/>
                  </w14:solidFill>
                </w14:textFill>
              </w:rPr>
              <w:t>中国水利水电科学研究院水利所高级工程师赵翠</w:t>
            </w:r>
            <w:r>
              <w:rPr>
                <w:rFonts w:hint="eastAsia" w:cs="Arial"/>
                <w:color w:val="000000" w:themeColor="text1"/>
                <w:szCs w:val="21"/>
                <w:lang w:val="en-US" w:eastAsia="zh-CN"/>
                <w14:textFill>
                  <w14:solidFill>
                    <w14:schemeClr w14:val="tx1"/>
                  </w14:solidFill>
                </w14:textFill>
              </w:rPr>
              <w:t>主讲。</w:t>
            </w:r>
          </w:p>
          <w:p>
            <w:pPr>
              <w:widowControl/>
              <w:spacing w:line="240" w:lineRule="auto"/>
              <w:rPr>
                <w:rFonts w:hint="eastAsia"/>
                <w:b/>
                <w:color w:val="000000" w:themeColor="text1"/>
                <w:szCs w:val="21"/>
                <w14:textFill>
                  <w14:solidFill>
                    <w14:schemeClr w14:val="tx1"/>
                  </w14:solidFill>
                </w14:textFill>
              </w:rPr>
            </w:pPr>
            <w:r>
              <w:rPr>
                <w:rFonts w:hint="eastAsia" w:cs="Arial"/>
                <w:color w:val="000000" w:themeColor="text1"/>
                <w:szCs w:val="21"/>
                <w14:textFill>
                  <w14:solidFill>
                    <w14:schemeClr w14:val="tx1"/>
                  </w14:solidFill>
                </w14:textFill>
              </w:rPr>
              <w:t>课程内容：农村饮用水源保护现状、饮用水源选择与取水构筑物、饮用水源保护与污染防治、饮用水源评价与运行管理。</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2.5</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120" w:beforeLines="50" w:after="120" w:afterLines="50" w:line="240" w:lineRule="auto"/>
              <w:rPr>
                <w:rFonts w:hint="eastAsia"/>
                <w:b/>
                <w:color w:val="000000" w:themeColor="text1"/>
                <w:szCs w:val="21"/>
                <w14:textFill>
                  <w14:solidFill>
                    <w14:schemeClr w14:val="tx1"/>
                  </w14:solidFill>
                </w14:textFill>
              </w:rPr>
            </w:pPr>
          </w:p>
        </w:tc>
      </w:tr>
      <w:tr>
        <w:tblPrEx>
          <w:tblLayout w:type="fixed"/>
          <w:tblCellMar>
            <w:top w:w="0" w:type="dxa"/>
            <w:left w:w="108" w:type="dxa"/>
            <w:bottom w:w="0" w:type="dxa"/>
            <w:right w:w="108" w:type="dxa"/>
          </w:tblCellMar>
        </w:tblPrEx>
        <w:trPr>
          <w:trHeight w:val="852"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19</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水库移民工作监督检查暨问题清单综述</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cs="Arial"/>
                <w:color w:val="000000" w:themeColor="text1"/>
                <w:szCs w:val="21"/>
                <w:lang w:eastAsia="zh-CN"/>
                <w14:textFill>
                  <w14:solidFill>
                    <w14:schemeClr w14:val="tx1"/>
                  </w14:solidFill>
                </w14:textFill>
              </w:rPr>
            </w:pPr>
            <w:r>
              <w:rPr>
                <w:rFonts w:hint="eastAsia" w:cs="Arial"/>
                <w:color w:val="000000" w:themeColor="text1"/>
                <w:szCs w:val="21"/>
                <w14:textFill>
                  <w14:solidFill>
                    <w14:schemeClr w14:val="tx1"/>
                  </w14:solidFill>
                </w14:textFill>
              </w:rPr>
              <w:t>水利部水利水电规划设计总院教授级高工刘卓颖</w:t>
            </w:r>
            <w:r>
              <w:rPr>
                <w:rFonts w:hint="eastAsia" w:cs="Arial"/>
                <w:color w:val="000000" w:themeColor="text1"/>
                <w:szCs w:val="21"/>
                <w:lang w:val="en-US" w:eastAsia="zh-CN"/>
                <w14:textFill>
                  <w14:solidFill>
                    <w14:schemeClr w14:val="tx1"/>
                  </w14:solidFill>
                </w14:textFill>
              </w:rPr>
              <w:t>主讲</w:t>
            </w:r>
            <w:r>
              <w:rPr>
                <w:rFonts w:hint="eastAsia" w:cs="Arial"/>
                <w:color w:val="000000" w:themeColor="text1"/>
                <w:szCs w:val="21"/>
                <w:lang w:eastAsia="zh-CN"/>
                <w14:textFill>
                  <w14:solidFill>
                    <w14:schemeClr w14:val="tx1"/>
                  </w14:solidFill>
                </w14:textFill>
              </w:rPr>
              <w:t>。</w:t>
            </w:r>
          </w:p>
          <w:p>
            <w:pPr>
              <w:widowControl/>
              <w:spacing w:line="240" w:lineRule="auto"/>
              <w:rPr>
                <w:rFonts w:hint="eastAsia"/>
                <w:b/>
                <w:color w:val="000000" w:themeColor="text1"/>
                <w:szCs w:val="21"/>
                <w14:textFill>
                  <w14:solidFill>
                    <w14:schemeClr w14:val="tx1"/>
                  </w14:solidFill>
                </w14:textFill>
              </w:rPr>
            </w:pPr>
            <w:r>
              <w:rPr>
                <w:rFonts w:hint="eastAsia" w:cs="Arial"/>
                <w:color w:val="000000" w:themeColor="text1"/>
                <w:szCs w:val="21"/>
                <w14:textFill>
                  <w14:solidFill>
                    <w14:schemeClr w14:val="tx1"/>
                  </w14:solidFill>
                </w14:textFill>
              </w:rPr>
              <w:t>课程内容：水库移民工作监督检查工作的政策背景、工作背景解析，近年来稽察审计工作情况、工作成果介绍，2020版移民监督检查工作手册及问题清单解析。</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2.5</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120" w:beforeLines="50" w:after="120" w:afterLines="50" w:line="240" w:lineRule="auto"/>
              <w:rPr>
                <w:rFonts w:hint="eastAsia"/>
                <w:b/>
                <w:color w:val="000000" w:themeColor="text1"/>
                <w:szCs w:val="21"/>
                <w14:textFill>
                  <w14:solidFill>
                    <w14:schemeClr w14:val="tx1"/>
                  </w14:solidFill>
                </w14:textFill>
              </w:rPr>
            </w:pPr>
          </w:p>
        </w:tc>
      </w:tr>
      <w:tr>
        <w:tblPrEx>
          <w:tblLayout w:type="fixed"/>
          <w:tblCellMar>
            <w:top w:w="0" w:type="dxa"/>
            <w:left w:w="108" w:type="dxa"/>
            <w:bottom w:w="0" w:type="dxa"/>
            <w:right w:w="108" w:type="dxa"/>
          </w:tblCellMar>
        </w:tblPrEx>
        <w:trPr>
          <w:trHeight w:val="1531"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20</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数字灌区建设理念与实现途径</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中国水科院水利所副所长、教授级高工张宝忠主讲。</w:t>
            </w:r>
          </w:p>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课程内容：针对数字灌区这一主题，从建设背景、建设理念、关键技术和实现途径进行系统讲述，提出了数字灌区的灌排物理网、立体数据网、模拟仿真网和调度决策网为一体的四网融合体系；系统阐述了灌区信息采集、灌区需求侧优化、灌区供给侧调控、供需耦合智能决策等关键技术；全面梳理了数字灌区建设的架构体系和关键要素。</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2</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120" w:beforeLines="50" w:after="120" w:afterLines="50" w:line="240" w:lineRule="auto"/>
              <w:rPr>
                <w:rFonts w:hint="eastAsia"/>
                <w:b/>
                <w:color w:val="000000" w:themeColor="text1"/>
                <w:szCs w:val="21"/>
                <w14:textFill>
                  <w14:solidFill>
                    <w14:schemeClr w14:val="tx1"/>
                  </w14:solidFill>
                </w14:textFill>
              </w:rPr>
            </w:pPr>
          </w:p>
        </w:tc>
      </w:tr>
      <w:tr>
        <w:tblPrEx>
          <w:tblLayout w:type="fixed"/>
          <w:tblCellMar>
            <w:top w:w="0" w:type="dxa"/>
            <w:left w:w="108" w:type="dxa"/>
            <w:bottom w:w="0" w:type="dxa"/>
            <w:right w:w="108" w:type="dxa"/>
          </w:tblCellMar>
        </w:tblPrEx>
        <w:trPr>
          <w:trHeight w:val="957"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21</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大型灌区现代化改造推进标准化规范化管理创建工作认识与思考</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中国水利水电科学研究院教授级高工雷波主讲。</w:t>
            </w:r>
          </w:p>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课程内容：灌区标准化规范化管理，灌区标准化规范化管理的创建背景，大型灌区如何进行现代化改造并推进标准化规范化管理创建工作。</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1.5</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120" w:beforeLines="50" w:after="120" w:afterLines="50" w:line="240" w:lineRule="auto"/>
              <w:rPr>
                <w:rFonts w:hint="eastAsia"/>
                <w:b/>
                <w:color w:val="000000" w:themeColor="text1"/>
                <w:szCs w:val="21"/>
                <w14:textFill>
                  <w14:solidFill>
                    <w14:schemeClr w14:val="tx1"/>
                  </w14:solidFill>
                </w14:textFill>
              </w:rPr>
            </w:pPr>
          </w:p>
        </w:tc>
      </w:tr>
      <w:tr>
        <w:tblPrEx>
          <w:tblLayout w:type="fixed"/>
          <w:tblCellMar>
            <w:top w:w="0" w:type="dxa"/>
            <w:left w:w="108" w:type="dxa"/>
            <w:bottom w:w="0" w:type="dxa"/>
            <w:right w:w="108" w:type="dxa"/>
          </w:tblCellMar>
        </w:tblPrEx>
        <w:trPr>
          <w:trHeight w:val="897"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22</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中国的水资源价格改革——历史，现在与未来</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中国水利水电科学研究院教授级高工雷波主讲。</w:t>
            </w:r>
          </w:p>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课程内容：什么是水价；水价改革的历程、重点、配套与影响；中国的水资源价格改革的历史、现在与未来。</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1</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120" w:beforeLines="50" w:after="120" w:afterLines="50" w:line="240" w:lineRule="auto"/>
              <w:rPr>
                <w:rFonts w:hint="eastAsia"/>
                <w:b/>
                <w:color w:val="000000" w:themeColor="text1"/>
                <w:szCs w:val="21"/>
                <w14:textFill>
                  <w14:solidFill>
                    <w14:schemeClr w14:val="tx1"/>
                  </w14:solidFill>
                </w14:textFill>
              </w:rPr>
            </w:pPr>
          </w:p>
        </w:tc>
      </w:tr>
      <w:tr>
        <w:tblPrEx>
          <w:tblLayout w:type="fixed"/>
          <w:tblCellMar>
            <w:top w:w="0" w:type="dxa"/>
            <w:left w:w="108" w:type="dxa"/>
            <w:bottom w:w="0" w:type="dxa"/>
            <w:right w:w="108" w:type="dxa"/>
          </w:tblCellMar>
        </w:tblPrEx>
        <w:trPr>
          <w:trHeight w:val="942"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23</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水库大坝安全鉴定</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水利部大坝中心总工程师、，南京水利科学研究院大坝安全与管理研究所所长，二级教授级高工盛金保主讲。</w:t>
            </w:r>
          </w:p>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课程内容：讲解中国水库大坝安全鉴定组织、程序和措施等内容。</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4.5</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120" w:beforeLines="50" w:after="120" w:afterLines="50" w:line="240" w:lineRule="auto"/>
              <w:rPr>
                <w:rFonts w:hint="eastAsia"/>
                <w:b/>
                <w:color w:val="000000" w:themeColor="text1"/>
                <w:szCs w:val="21"/>
                <w14:textFill>
                  <w14:solidFill>
                    <w14:schemeClr w14:val="tx1"/>
                  </w14:solidFill>
                </w14:textFill>
              </w:rPr>
            </w:pPr>
          </w:p>
        </w:tc>
      </w:tr>
      <w:tr>
        <w:tblPrEx>
          <w:tblLayout w:type="fixed"/>
          <w:tblCellMar>
            <w:top w:w="0" w:type="dxa"/>
            <w:left w:w="108" w:type="dxa"/>
            <w:bottom w:w="0" w:type="dxa"/>
            <w:right w:w="108" w:type="dxa"/>
          </w:tblCellMar>
        </w:tblPrEx>
        <w:trPr>
          <w:trHeight w:val="1699"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24</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水库大坝风险评估与管理</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水利部大坝中心总工程师、，南京水利科学研究院大坝安全与管理研究所所长，二级教授级高工盛金保主讲。</w:t>
            </w:r>
          </w:p>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课程内容：讲解水库大坝安全评价基本要求；水库大坝安全评价技术路线以及现场安全检查及安全检测、安全监测资料分析、工程质量评价、运行管理评价、防洪能力复核、渗流安全评价、结构安全评价、抗震安全评价、金属结构安全评价、大坝安全综合评价技术要点；现行大坝安全评价体系评价。</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4</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120" w:beforeLines="50" w:after="120" w:afterLines="50" w:line="240" w:lineRule="auto"/>
              <w:rPr>
                <w:rFonts w:hint="eastAsia"/>
                <w:b/>
                <w:color w:val="000000" w:themeColor="text1"/>
                <w:szCs w:val="21"/>
                <w14:textFill>
                  <w14:solidFill>
                    <w14:schemeClr w14:val="tx1"/>
                  </w14:solidFill>
                </w14:textFill>
              </w:rPr>
            </w:pPr>
          </w:p>
        </w:tc>
      </w:tr>
      <w:tr>
        <w:tblPrEx>
          <w:tblLayout w:type="fixed"/>
          <w:tblCellMar>
            <w:top w:w="0" w:type="dxa"/>
            <w:left w:w="108" w:type="dxa"/>
            <w:bottom w:w="0" w:type="dxa"/>
            <w:right w:w="108" w:type="dxa"/>
          </w:tblCellMar>
        </w:tblPrEx>
        <w:trPr>
          <w:trHeight w:val="677"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25</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用水定额的作用、现状和编制</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南科院水资源所教授级高工秦福兴主讲。</w:t>
            </w:r>
          </w:p>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课程内容：介绍用水定额观念和作用，以及用水定额现状。</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3.5</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120" w:beforeLines="50" w:after="120" w:afterLines="50" w:line="240" w:lineRule="auto"/>
              <w:rPr>
                <w:rFonts w:hint="eastAsia"/>
                <w:b/>
                <w:color w:val="000000" w:themeColor="text1"/>
                <w:szCs w:val="21"/>
                <w14:textFill>
                  <w14:solidFill>
                    <w14:schemeClr w14:val="tx1"/>
                  </w14:solidFill>
                </w14:textFill>
              </w:rPr>
            </w:pPr>
          </w:p>
        </w:tc>
      </w:tr>
      <w:tr>
        <w:tblPrEx>
          <w:tblLayout w:type="fixed"/>
          <w:tblCellMar>
            <w:top w:w="0" w:type="dxa"/>
            <w:left w:w="108" w:type="dxa"/>
            <w:bottom w:w="0" w:type="dxa"/>
            <w:right w:w="108" w:type="dxa"/>
          </w:tblCellMar>
        </w:tblPrEx>
        <w:trPr>
          <w:trHeight w:val="552"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26</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水文化内涵与建设</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水利部海河水利委员会纪检组长靳怀春主讲。</w:t>
            </w:r>
          </w:p>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课程内容：水文化建设的理念、水文化建设的意义、存在的主要问题、水文化建设措施、水文化的创新和传承等。</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6</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120" w:beforeLines="50" w:after="120" w:afterLines="50" w:line="240" w:lineRule="auto"/>
              <w:rPr>
                <w:rFonts w:hint="eastAsia"/>
                <w:b/>
                <w:color w:val="000000" w:themeColor="text1"/>
                <w:szCs w:val="21"/>
                <w14:textFill>
                  <w14:solidFill>
                    <w14:schemeClr w14:val="tx1"/>
                  </w14:solidFill>
                </w14:textFill>
              </w:rPr>
            </w:pPr>
          </w:p>
        </w:tc>
      </w:tr>
      <w:tr>
        <w:tblPrEx>
          <w:tblLayout w:type="fixed"/>
          <w:tblCellMar>
            <w:top w:w="0" w:type="dxa"/>
            <w:left w:w="108" w:type="dxa"/>
            <w:bottom w:w="0" w:type="dxa"/>
            <w:right w:w="108" w:type="dxa"/>
          </w:tblCellMar>
        </w:tblPrEx>
        <w:trPr>
          <w:trHeight w:val="552"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27</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水库大坝安全管理法规制度与技术标准</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水利部大坝中心教授级高工杨正华主讲。</w:t>
            </w:r>
          </w:p>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课程内容：介绍我国水库大坝基本情况，水库大坝运行管理法规与技术标准，水库大坝注册登记，水库大坝安全鉴定等内容。</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3.5</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120" w:beforeLines="50" w:after="120" w:afterLines="50" w:line="240" w:lineRule="auto"/>
              <w:rPr>
                <w:rFonts w:hint="eastAsia"/>
                <w:b/>
                <w:color w:val="000000" w:themeColor="text1"/>
                <w:szCs w:val="21"/>
                <w14:textFill>
                  <w14:solidFill>
                    <w14:schemeClr w14:val="tx1"/>
                  </w14:solidFill>
                </w14:textFill>
              </w:rPr>
            </w:pPr>
          </w:p>
        </w:tc>
      </w:tr>
      <w:tr>
        <w:tblPrEx>
          <w:tblLayout w:type="fixed"/>
          <w:tblCellMar>
            <w:top w:w="0" w:type="dxa"/>
            <w:left w:w="108" w:type="dxa"/>
            <w:bottom w:w="0" w:type="dxa"/>
            <w:right w:w="108" w:type="dxa"/>
          </w:tblCellMar>
        </w:tblPrEx>
        <w:trPr>
          <w:trHeight w:val="552"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28</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14:textFill>
                  <w14:solidFill>
                    <w14:schemeClr w14:val="tx1"/>
                  </w14:solidFill>
                </w14:textFill>
              </w:rPr>
            </w:pPr>
            <w:r>
              <w:rPr>
                <w:rFonts w:hint="eastAsia" w:ascii="Tahoma" w:hAnsi="Tahoma" w:eastAsia="Tahoma" w:cs="Tahoma"/>
                <w:color w:val="000000"/>
                <w:szCs w:val="21"/>
              </w:rPr>
              <w:t>水库大坝安全监测与信息化</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水利部大坝中心教授级高工王士军主讲。</w:t>
            </w:r>
          </w:p>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课程内容：介绍水库大坝安全监测系统框架体系和系统功能情况，以及水库大坝安全监测信息化建设等。</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5</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120" w:beforeLines="50" w:after="120" w:afterLines="50" w:line="240" w:lineRule="auto"/>
              <w:rPr>
                <w:rFonts w:hint="eastAsia"/>
                <w:b/>
                <w:color w:val="000000" w:themeColor="text1"/>
                <w:szCs w:val="21"/>
                <w14:textFill>
                  <w14:solidFill>
                    <w14:schemeClr w14:val="tx1"/>
                  </w14:solidFill>
                </w14:textFill>
              </w:rPr>
            </w:pPr>
          </w:p>
        </w:tc>
      </w:tr>
      <w:tr>
        <w:tblPrEx>
          <w:tblLayout w:type="fixed"/>
          <w:tblCellMar>
            <w:top w:w="0" w:type="dxa"/>
            <w:left w:w="108" w:type="dxa"/>
            <w:bottom w:w="0" w:type="dxa"/>
            <w:right w:w="108" w:type="dxa"/>
          </w:tblCellMar>
        </w:tblPrEx>
        <w:trPr>
          <w:trHeight w:val="552"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29</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小型水库运行监督检查</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水利部大坝中心教授级高工张士辰主讲。</w:t>
            </w:r>
          </w:p>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课程内容：介绍小型水库安全运行监督检查的职责分工、检查对象、监督检查方式、监督检查程序、监督检查措施及处理等。</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5</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120" w:beforeLines="50" w:after="120" w:afterLines="50" w:line="240" w:lineRule="auto"/>
              <w:rPr>
                <w:rFonts w:hint="eastAsia"/>
                <w:b/>
                <w:color w:val="000000" w:themeColor="text1"/>
                <w:szCs w:val="21"/>
                <w14:textFill>
                  <w14:solidFill>
                    <w14:schemeClr w14:val="tx1"/>
                  </w14:solidFill>
                </w14:textFill>
              </w:rPr>
            </w:pPr>
          </w:p>
        </w:tc>
      </w:tr>
      <w:tr>
        <w:tblPrEx>
          <w:tblLayout w:type="fixed"/>
          <w:tblCellMar>
            <w:top w:w="0" w:type="dxa"/>
            <w:left w:w="108" w:type="dxa"/>
            <w:bottom w:w="0" w:type="dxa"/>
            <w:right w:w="108" w:type="dxa"/>
          </w:tblCellMar>
        </w:tblPrEx>
        <w:trPr>
          <w:trHeight w:val="897"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30</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水库大坝主要安全隐患处置技术与应急管理</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水利部大坝中心教授级高工向衍主讲。</w:t>
            </w:r>
          </w:p>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课程内容：介绍水库大坝主要安全隐患类型，以及防洪安全隐患处置、渗漏安全隐患处置、结构安全隐患处置、金属结构安全隐患处置、运行管理安全隐患处置等。</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4</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120" w:beforeLines="50" w:after="120" w:afterLines="50" w:line="240" w:lineRule="auto"/>
              <w:rPr>
                <w:rFonts w:hint="eastAsia"/>
                <w:b/>
                <w:color w:val="000000" w:themeColor="text1"/>
                <w:szCs w:val="21"/>
                <w14:textFill>
                  <w14:solidFill>
                    <w14:schemeClr w14:val="tx1"/>
                  </w14:solidFill>
                </w14:textFill>
              </w:rPr>
            </w:pPr>
          </w:p>
        </w:tc>
      </w:tr>
      <w:tr>
        <w:tblPrEx>
          <w:tblLayout w:type="fixed"/>
          <w:tblCellMar>
            <w:top w:w="0" w:type="dxa"/>
            <w:left w:w="108" w:type="dxa"/>
            <w:bottom w:w="0" w:type="dxa"/>
            <w:right w:w="108" w:type="dxa"/>
          </w:tblCellMar>
        </w:tblPrEx>
        <w:trPr>
          <w:trHeight w:val="684"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31</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水利工程建设安全生产督查及成果运用</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水利部建设管理与质量安全中心督查事务二处副处张滇军主讲。</w:t>
            </w:r>
          </w:p>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课程内容：水利工程建设督查简述、水利建设安全生产督查方式方法以及成果运用与整理。</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3</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120" w:beforeLines="50" w:after="120" w:afterLines="50" w:line="240" w:lineRule="auto"/>
              <w:rPr>
                <w:rFonts w:hint="eastAsia"/>
                <w:b/>
                <w:color w:val="000000" w:themeColor="text1"/>
                <w:szCs w:val="21"/>
                <w14:textFill>
                  <w14:solidFill>
                    <w14:schemeClr w14:val="tx1"/>
                  </w14:solidFill>
                </w14:textFill>
              </w:rPr>
            </w:pPr>
          </w:p>
        </w:tc>
      </w:tr>
      <w:tr>
        <w:tblPrEx>
          <w:tblLayout w:type="fixed"/>
          <w:tblCellMar>
            <w:top w:w="0" w:type="dxa"/>
            <w:left w:w="108" w:type="dxa"/>
            <w:bottom w:w="0" w:type="dxa"/>
            <w:right w:w="108" w:type="dxa"/>
          </w:tblCellMar>
        </w:tblPrEx>
        <w:trPr>
          <w:trHeight w:val="867"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32</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节约用水监督检查要点及方式方法</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水利部节水中心监管事务处处任志远主讲。</w:t>
            </w:r>
          </w:p>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课程内容：介绍节约用水工作形势与要求，节水监督检查方式方法以及2020年节水监督检查要点。</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2</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120" w:beforeLines="50" w:after="120" w:afterLines="50" w:line="240" w:lineRule="auto"/>
              <w:rPr>
                <w:rFonts w:hint="eastAsia"/>
                <w:b/>
                <w:color w:val="000000" w:themeColor="text1"/>
                <w:szCs w:val="21"/>
                <w14:textFill>
                  <w14:solidFill>
                    <w14:schemeClr w14:val="tx1"/>
                  </w14:solidFill>
                </w14:textFill>
              </w:rPr>
            </w:pPr>
          </w:p>
        </w:tc>
      </w:tr>
      <w:tr>
        <w:tblPrEx>
          <w:tblLayout w:type="fixed"/>
          <w:tblCellMar>
            <w:top w:w="0" w:type="dxa"/>
            <w:left w:w="108" w:type="dxa"/>
            <w:bottom w:w="0" w:type="dxa"/>
            <w:right w:w="108" w:type="dxa"/>
          </w:tblCellMar>
        </w:tblPrEx>
        <w:trPr>
          <w:trHeight w:val="692"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33</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河湖监管暗访在“强监管”中的作用</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华北水利水电大学讲师苑晨阳主讲。</w:t>
            </w:r>
          </w:p>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课程内容：河湖监管暗访的概念、意义、作用及如何完善等。</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3</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120" w:beforeLines="50" w:after="120" w:afterLines="50" w:line="240" w:lineRule="auto"/>
              <w:rPr>
                <w:rFonts w:hint="eastAsia"/>
                <w:b/>
                <w:color w:val="000000" w:themeColor="text1"/>
                <w:szCs w:val="21"/>
                <w14:textFill>
                  <w14:solidFill>
                    <w14:schemeClr w14:val="tx1"/>
                  </w14:solidFill>
                </w14:textFill>
              </w:rPr>
            </w:pPr>
          </w:p>
        </w:tc>
      </w:tr>
      <w:tr>
        <w:tblPrEx>
          <w:tblLayout w:type="fixed"/>
          <w:tblCellMar>
            <w:top w:w="0" w:type="dxa"/>
            <w:left w:w="108" w:type="dxa"/>
            <w:bottom w:w="0" w:type="dxa"/>
            <w:right w:w="108" w:type="dxa"/>
          </w:tblCellMar>
        </w:tblPrEx>
        <w:trPr>
          <w:trHeight w:val="862"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34</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山洪灾害监测与防御</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水利部海河水利委员会教授级高工马文奎主讲。</w:t>
            </w:r>
          </w:p>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课程内容：山洪灾害群测群防、山洪灾害案例、山洪灾害防御重点以及县级山洪灾害监测预警等。</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2.5</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120" w:beforeLines="50" w:after="120" w:afterLines="50" w:line="240" w:lineRule="auto"/>
              <w:rPr>
                <w:rFonts w:hint="eastAsia"/>
                <w:b/>
                <w:color w:val="000000" w:themeColor="text1"/>
                <w:szCs w:val="21"/>
                <w14:textFill>
                  <w14:solidFill>
                    <w14:schemeClr w14:val="tx1"/>
                  </w14:solidFill>
                </w14:textFill>
              </w:rPr>
            </w:pPr>
          </w:p>
        </w:tc>
      </w:tr>
      <w:tr>
        <w:tblPrEx>
          <w:tblLayout w:type="fixed"/>
          <w:tblCellMar>
            <w:top w:w="0" w:type="dxa"/>
            <w:left w:w="108" w:type="dxa"/>
            <w:bottom w:w="0" w:type="dxa"/>
            <w:right w:w="108" w:type="dxa"/>
          </w:tblCellMar>
        </w:tblPrEx>
        <w:trPr>
          <w:trHeight w:val="989"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35</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以制度建设与制度创新为路径 推进国家治理体系和治理能力现代化</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中共中央党校（国家行政学院）公共管理教研部副主任、教授宋世明主讲。</w:t>
            </w:r>
          </w:p>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课程内容：重点研究坚持和完善中国特色社会主义制度、推进国家治理体系和治理能力现代化问题并作出决定，体现了以习近平同志为核心的党中央高瞻远瞩的战略眼光和强烈的历史担当。</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4</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120" w:beforeLines="50" w:after="120" w:afterLines="50" w:line="240" w:lineRule="auto"/>
              <w:rPr>
                <w:rFonts w:hint="eastAsia"/>
                <w:b/>
                <w:color w:val="000000" w:themeColor="text1"/>
                <w:szCs w:val="21"/>
                <w14:textFill>
                  <w14:solidFill>
                    <w14:schemeClr w14:val="tx1"/>
                  </w14:solidFill>
                </w14:textFill>
              </w:rPr>
            </w:pPr>
          </w:p>
        </w:tc>
      </w:tr>
      <w:tr>
        <w:tblPrEx>
          <w:tblLayout w:type="fixed"/>
          <w:tblCellMar>
            <w:top w:w="0" w:type="dxa"/>
            <w:left w:w="108" w:type="dxa"/>
            <w:bottom w:w="0" w:type="dxa"/>
            <w:right w:w="108" w:type="dxa"/>
          </w:tblCellMar>
        </w:tblPrEx>
        <w:trPr>
          <w:trHeight w:val="1185"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36</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发挥好“显著优势”坚持和完善生态文明制度体系 促进人与自然和谐共生</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北京大学环境科学与工程学院教授、博士生导师、北京大学中国持续发展研究中心常务副主任宋豫秦主讲。</w:t>
            </w:r>
          </w:p>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课程内容：围绕十九届四中全会重要精神，深度解读如何发挥好“显著优势”，坚持和完善生态文明制度体系，促进人与自然和谐共生。</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3.5</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120" w:beforeLines="50" w:after="120" w:afterLines="50" w:line="240" w:lineRule="auto"/>
              <w:rPr>
                <w:rFonts w:hint="eastAsia"/>
                <w:b/>
                <w:color w:val="000000" w:themeColor="text1"/>
                <w:szCs w:val="21"/>
                <w14:textFill>
                  <w14:solidFill>
                    <w14:schemeClr w14:val="tx1"/>
                  </w14:solidFill>
                </w14:textFill>
              </w:rPr>
            </w:pPr>
          </w:p>
        </w:tc>
      </w:tr>
      <w:tr>
        <w:tblPrEx>
          <w:tblLayout w:type="fixed"/>
          <w:tblCellMar>
            <w:top w:w="0" w:type="dxa"/>
            <w:left w:w="108" w:type="dxa"/>
            <w:bottom w:w="0" w:type="dxa"/>
            <w:right w:w="108" w:type="dxa"/>
          </w:tblCellMar>
        </w:tblPrEx>
        <w:trPr>
          <w:trHeight w:val="552"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37</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推进国家治理现代化的若干基本问题</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中国社会科学院大学马克思主义学院院长辛向阳主讲。</w:t>
            </w:r>
          </w:p>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课程内容：解读《中共中央关于坚持和完善中国特色社会主义制度、推进国家治理体系和治理能力现代化若干重大问题的决定》。</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6</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120" w:beforeLines="50" w:after="120" w:afterLines="50" w:line="240" w:lineRule="auto"/>
              <w:rPr>
                <w:rFonts w:hint="eastAsia"/>
                <w:b/>
                <w:color w:val="000000" w:themeColor="text1"/>
                <w:szCs w:val="21"/>
                <w14:textFill>
                  <w14:solidFill>
                    <w14:schemeClr w14:val="tx1"/>
                  </w14:solidFill>
                </w14:textFill>
              </w:rPr>
            </w:pPr>
          </w:p>
        </w:tc>
      </w:tr>
      <w:tr>
        <w:tblPrEx>
          <w:tblLayout w:type="fixed"/>
          <w:tblCellMar>
            <w:top w:w="0" w:type="dxa"/>
            <w:left w:w="108" w:type="dxa"/>
            <w:bottom w:w="0" w:type="dxa"/>
            <w:right w:w="108" w:type="dxa"/>
          </w:tblCellMar>
        </w:tblPrEx>
        <w:trPr>
          <w:trHeight w:val="552"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38</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贯彻落实党的十九届四中全会精神 推进水利治理体系和治理能力现代化</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水利部政法司副司长王治主讲。</w:t>
            </w:r>
          </w:p>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课程内容：贯彻落实十九届四中全会精神，推进水利治理体系现代化。</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5</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120" w:beforeLines="50" w:after="120" w:afterLines="50" w:line="240" w:lineRule="auto"/>
              <w:rPr>
                <w:rFonts w:hint="eastAsia"/>
                <w:b/>
                <w:color w:val="000000" w:themeColor="text1"/>
                <w:szCs w:val="21"/>
                <w14:textFill>
                  <w14:solidFill>
                    <w14:schemeClr w14:val="tx1"/>
                  </w14:solidFill>
                </w14:textFill>
              </w:rPr>
            </w:pPr>
          </w:p>
        </w:tc>
      </w:tr>
      <w:tr>
        <w:tblPrEx>
          <w:tblLayout w:type="fixed"/>
          <w:tblCellMar>
            <w:top w:w="0" w:type="dxa"/>
            <w:left w:w="108" w:type="dxa"/>
            <w:bottom w:w="0" w:type="dxa"/>
            <w:right w:w="108" w:type="dxa"/>
          </w:tblCellMar>
        </w:tblPrEx>
        <w:trPr>
          <w:trHeight w:val="552"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39</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坚持和完善党和国家监督体系 强化对权力运行的制约和监督</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中共中央党校（国家行政学院）教授、博导任进主讲。</w:t>
            </w:r>
          </w:p>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课程内容：围绕十九届四中全会重要精神，解读坚持和完善党和国家监督体系，强化对权力运行的制约和监督。</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4.5</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120" w:beforeLines="50" w:after="120" w:afterLines="50" w:line="240" w:lineRule="auto"/>
              <w:rPr>
                <w:rFonts w:hint="eastAsia"/>
                <w:b/>
                <w:color w:val="000000" w:themeColor="text1"/>
                <w:szCs w:val="21"/>
                <w14:textFill>
                  <w14:solidFill>
                    <w14:schemeClr w14:val="tx1"/>
                  </w14:solidFill>
                </w14:textFill>
              </w:rPr>
            </w:pPr>
          </w:p>
        </w:tc>
      </w:tr>
      <w:tr>
        <w:tblPrEx>
          <w:tblLayout w:type="fixed"/>
          <w:tblCellMar>
            <w:top w:w="0" w:type="dxa"/>
            <w:left w:w="108" w:type="dxa"/>
            <w:bottom w:w="0" w:type="dxa"/>
            <w:right w:w="108" w:type="dxa"/>
          </w:tblCellMar>
        </w:tblPrEx>
        <w:trPr>
          <w:trHeight w:val="662"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40</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完善全面从严治党 强化对权力运行的制约和监督</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驻水利部纪检组已经巡视员、纪检监察员刘世春主讲。</w:t>
            </w:r>
          </w:p>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课程内容：围绕十九届四中全会重要精神，阐述全面从严治党，强化对权力运行的制约和监督。</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2.5</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120" w:beforeLines="50" w:after="120" w:afterLines="50" w:line="240" w:lineRule="auto"/>
              <w:rPr>
                <w:rFonts w:hint="eastAsia"/>
                <w:b/>
                <w:color w:val="000000" w:themeColor="text1"/>
                <w:szCs w:val="21"/>
                <w14:textFill>
                  <w14:solidFill>
                    <w14:schemeClr w14:val="tx1"/>
                  </w14:solidFill>
                </w14:textFill>
              </w:rPr>
            </w:pPr>
          </w:p>
        </w:tc>
      </w:tr>
      <w:tr>
        <w:tblPrEx>
          <w:tblLayout w:type="fixed"/>
          <w:tblCellMar>
            <w:top w:w="0" w:type="dxa"/>
            <w:left w:w="108" w:type="dxa"/>
            <w:bottom w:w="0" w:type="dxa"/>
            <w:right w:w="108" w:type="dxa"/>
          </w:tblCellMar>
        </w:tblPrEx>
        <w:trPr>
          <w:trHeight w:val="552"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41</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如何配置标准溶液</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课程内容：本课程详细介绍了如何配置标准溶液。</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0.5</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120" w:beforeLines="50" w:after="120" w:afterLines="50" w:line="240" w:lineRule="auto"/>
              <w:jc w:val="center"/>
              <w:rPr>
                <w:rFonts w:hint="eastAsia" w:eastAsia="宋体"/>
                <w:b/>
                <w:color w:val="000000" w:themeColor="text1"/>
                <w:szCs w:val="21"/>
                <w:lang w:eastAsia="zh-CN"/>
                <w14:textFill>
                  <w14:solidFill>
                    <w14:schemeClr w14:val="tx1"/>
                  </w14:solidFill>
                </w14:textFill>
              </w:rPr>
            </w:pPr>
            <w:r>
              <w:rPr>
                <w:rFonts w:hint="eastAsia"/>
                <w:szCs w:val="21"/>
                <w:lang w:val="en-US" w:eastAsia="zh-CN"/>
              </w:rPr>
              <w:t>微课程</w:t>
            </w:r>
          </w:p>
        </w:tc>
      </w:tr>
      <w:tr>
        <w:tblPrEx>
          <w:tblLayout w:type="fixed"/>
          <w:tblCellMar>
            <w:top w:w="0" w:type="dxa"/>
            <w:left w:w="108" w:type="dxa"/>
            <w:bottom w:w="0" w:type="dxa"/>
            <w:right w:w="108" w:type="dxa"/>
          </w:tblCellMar>
        </w:tblPrEx>
        <w:trPr>
          <w:trHeight w:val="552"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42</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饮用水如何测定总硬度</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课程内容：本课程详细介绍了饮用水如何测定总硬度</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0.5</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120" w:beforeLines="50" w:after="120" w:afterLines="50" w:line="240" w:lineRule="auto"/>
              <w:jc w:val="center"/>
              <w:rPr>
                <w:rFonts w:hint="eastAsia"/>
                <w:b/>
                <w:color w:val="000000" w:themeColor="text1"/>
                <w:szCs w:val="21"/>
                <w14:textFill>
                  <w14:solidFill>
                    <w14:schemeClr w14:val="tx1"/>
                  </w14:solidFill>
                </w14:textFill>
              </w:rPr>
            </w:pPr>
            <w:r>
              <w:rPr>
                <w:rFonts w:hint="eastAsia"/>
                <w:szCs w:val="21"/>
                <w:lang w:val="en-US" w:eastAsia="zh-CN"/>
              </w:rPr>
              <w:t>微课程</w:t>
            </w:r>
          </w:p>
        </w:tc>
      </w:tr>
      <w:tr>
        <w:tblPrEx>
          <w:tblLayout w:type="fixed"/>
          <w:tblCellMar>
            <w:top w:w="0" w:type="dxa"/>
            <w:left w:w="108" w:type="dxa"/>
            <w:bottom w:w="0" w:type="dxa"/>
            <w:right w:w="108" w:type="dxa"/>
          </w:tblCellMar>
        </w:tblPrEx>
        <w:trPr>
          <w:trHeight w:val="552"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43</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什么是台风</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课程内容：本课程详细介绍了什么是台风。</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0.5</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120" w:beforeLines="50" w:after="120" w:afterLines="50" w:line="240" w:lineRule="auto"/>
              <w:jc w:val="center"/>
              <w:rPr>
                <w:rFonts w:hint="eastAsia"/>
                <w:b/>
                <w:color w:val="000000" w:themeColor="text1"/>
                <w:szCs w:val="21"/>
                <w14:textFill>
                  <w14:solidFill>
                    <w14:schemeClr w14:val="tx1"/>
                  </w14:solidFill>
                </w14:textFill>
              </w:rPr>
            </w:pPr>
            <w:r>
              <w:rPr>
                <w:rFonts w:hint="eastAsia"/>
                <w:szCs w:val="21"/>
                <w:lang w:val="en-US" w:eastAsia="zh-CN"/>
              </w:rPr>
              <w:t>微课程</w:t>
            </w:r>
          </w:p>
        </w:tc>
      </w:tr>
      <w:tr>
        <w:tblPrEx>
          <w:tblLayout w:type="fixed"/>
          <w:tblCellMar>
            <w:top w:w="0" w:type="dxa"/>
            <w:left w:w="108" w:type="dxa"/>
            <w:bottom w:w="0" w:type="dxa"/>
            <w:right w:w="108" w:type="dxa"/>
          </w:tblCellMar>
        </w:tblPrEx>
        <w:trPr>
          <w:trHeight w:val="552"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44</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台风的危害</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课程内容：本课程详细介绍了台风的危害。</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0.5</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120" w:beforeLines="50" w:after="120" w:afterLines="50" w:line="240" w:lineRule="auto"/>
              <w:jc w:val="center"/>
              <w:rPr>
                <w:rFonts w:hint="eastAsia"/>
                <w:b/>
                <w:color w:val="000000" w:themeColor="text1"/>
                <w:szCs w:val="21"/>
                <w14:textFill>
                  <w14:solidFill>
                    <w14:schemeClr w14:val="tx1"/>
                  </w14:solidFill>
                </w14:textFill>
              </w:rPr>
            </w:pPr>
            <w:r>
              <w:rPr>
                <w:rFonts w:hint="eastAsia"/>
                <w:szCs w:val="21"/>
                <w:lang w:val="en-US" w:eastAsia="zh-CN"/>
              </w:rPr>
              <w:t>微课程</w:t>
            </w:r>
          </w:p>
        </w:tc>
      </w:tr>
      <w:tr>
        <w:tblPrEx>
          <w:tblLayout w:type="fixed"/>
          <w:tblCellMar>
            <w:top w:w="0" w:type="dxa"/>
            <w:left w:w="108" w:type="dxa"/>
            <w:bottom w:w="0" w:type="dxa"/>
            <w:right w:w="108" w:type="dxa"/>
          </w:tblCellMar>
        </w:tblPrEx>
        <w:trPr>
          <w:trHeight w:val="552"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45</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组织体系进行防御台风</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课程内容：本课程详细介绍了组织体系进行防御台风。</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0.5</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120" w:beforeLines="50" w:after="120" w:afterLines="50" w:line="240" w:lineRule="auto"/>
              <w:jc w:val="center"/>
              <w:rPr>
                <w:rFonts w:hint="eastAsia"/>
                <w:b/>
                <w:color w:val="000000" w:themeColor="text1"/>
                <w:szCs w:val="21"/>
                <w14:textFill>
                  <w14:solidFill>
                    <w14:schemeClr w14:val="tx1"/>
                  </w14:solidFill>
                </w14:textFill>
              </w:rPr>
            </w:pPr>
            <w:r>
              <w:rPr>
                <w:rFonts w:hint="eastAsia"/>
                <w:szCs w:val="21"/>
                <w:lang w:val="en-US" w:eastAsia="zh-CN"/>
              </w:rPr>
              <w:t>微课程</w:t>
            </w:r>
          </w:p>
        </w:tc>
      </w:tr>
      <w:tr>
        <w:tblPrEx>
          <w:tblLayout w:type="fixed"/>
          <w:tblCellMar>
            <w:top w:w="0" w:type="dxa"/>
            <w:left w:w="108" w:type="dxa"/>
            <w:bottom w:w="0" w:type="dxa"/>
            <w:right w:w="108" w:type="dxa"/>
          </w:tblCellMar>
        </w:tblPrEx>
        <w:trPr>
          <w:trHeight w:val="552"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46</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台风来临时各类群体的防御措施</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课程内容：本课程详细介绍了台风来临时各类群体的防御措施。</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0.5</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120" w:beforeLines="50" w:after="120" w:afterLines="50" w:line="240" w:lineRule="auto"/>
              <w:jc w:val="center"/>
              <w:rPr>
                <w:rFonts w:hint="eastAsia"/>
                <w:b/>
                <w:color w:val="000000" w:themeColor="text1"/>
                <w:szCs w:val="21"/>
                <w14:textFill>
                  <w14:solidFill>
                    <w14:schemeClr w14:val="tx1"/>
                  </w14:solidFill>
                </w14:textFill>
              </w:rPr>
            </w:pPr>
            <w:r>
              <w:rPr>
                <w:rFonts w:hint="eastAsia"/>
                <w:szCs w:val="21"/>
                <w:lang w:val="en-US" w:eastAsia="zh-CN"/>
              </w:rPr>
              <w:t>微课程</w:t>
            </w:r>
          </w:p>
        </w:tc>
      </w:tr>
      <w:tr>
        <w:tblPrEx>
          <w:tblLayout w:type="fixed"/>
          <w:tblCellMar>
            <w:top w:w="0" w:type="dxa"/>
            <w:left w:w="108" w:type="dxa"/>
            <w:bottom w:w="0" w:type="dxa"/>
            <w:right w:w="108" w:type="dxa"/>
          </w:tblCellMar>
        </w:tblPrEx>
        <w:trPr>
          <w:trHeight w:val="552"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47</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基层水利员防台各阶段的工作重点</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课程内容：本课程详细介绍了基层水利员防台各阶段的工作重点。</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0.5</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120" w:beforeLines="50" w:after="120" w:afterLines="50" w:line="240" w:lineRule="auto"/>
              <w:jc w:val="center"/>
              <w:rPr>
                <w:rFonts w:hint="eastAsia"/>
                <w:b/>
                <w:color w:val="000000" w:themeColor="text1"/>
                <w:szCs w:val="21"/>
                <w14:textFill>
                  <w14:solidFill>
                    <w14:schemeClr w14:val="tx1"/>
                  </w14:solidFill>
                </w14:textFill>
              </w:rPr>
            </w:pPr>
            <w:r>
              <w:rPr>
                <w:rFonts w:hint="eastAsia"/>
                <w:szCs w:val="21"/>
                <w:lang w:val="en-US" w:eastAsia="zh-CN"/>
              </w:rPr>
              <w:t>微课程</w:t>
            </w:r>
          </w:p>
        </w:tc>
      </w:tr>
      <w:tr>
        <w:tblPrEx>
          <w:tblLayout w:type="fixed"/>
          <w:tblCellMar>
            <w:top w:w="0" w:type="dxa"/>
            <w:left w:w="108" w:type="dxa"/>
            <w:bottom w:w="0" w:type="dxa"/>
            <w:right w:w="108" w:type="dxa"/>
          </w:tblCellMar>
        </w:tblPrEx>
        <w:trPr>
          <w:trHeight w:val="552"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48</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浙江省防御台风的工程与非工程措施</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课程内容：本课程详细介绍了浙江省防御台风的工程与非工程措施。</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0.5</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120" w:beforeLines="50" w:after="120" w:afterLines="50" w:line="240" w:lineRule="auto"/>
              <w:jc w:val="center"/>
              <w:rPr>
                <w:rFonts w:hint="eastAsia"/>
                <w:b/>
                <w:color w:val="000000" w:themeColor="text1"/>
                <w:szCs w:val="21"/>
                <w14:textFill>
                  <w14:solidFill>
                    <w14:schemeClr w14:val="tx1"/>
                  </w14:solidFill>
                </w14:textFill>
              </w:rPr>
            </w:pPr>
            <w:r>
              <w:rPr>
                <w:rFonts w:hint="eastAsia"/>
                <w:szCs w:val="21"/>
                <w:lang w:val="en-US" w:eastAsia="zh-CN"/>
              </w:rPr>
              <w:t>微课程</w:t>
            </w:r>
          </w:p>
        </w:tc>
      </w:tr>
      <w:tr>
        <w:tblPrEx>
          <w:tblLayout w:type="fixed"/>
          <w:tblCellMar>
            <w:top w:w="0" w:type="dxa"/>
            <w:left w:w="108" w:type="dxa"/>
            <w:bottom w:w="0" w:type="dxa"/>
            <w:right w:w="108" w:type="dxa"/>
          </w:tblCellMar>
        </w:tblPrEx>
        <w:trPr>
          <w:trHeight w:val="552"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49</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盘点近年来的强台风</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课程内容：本课程详细介绍了近年来的强台风有哪些。</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0.5</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120" w:beforeLines="50" w:after="120" w:afterLines="50" w:line="240" w:lineRule="auto"/>
              <w:jc w:val="center"/>
              <w:rPr>
                <w:rFonts w:hint="eastAsia"/>
                <w:b/>
                <w:color w:val="000000" w:themeColor="text1"/>
                <w:szCs w:val="21"/>
                <w14:textFill>
                  <w14:solidFill>
                    <w14:schemeClr w14:val="tx1"/>
                  </w14:solidFill>
                </w14:textFill>
              </w:rPr>
            </w:pPr>
            <w:r>
              <w:rPr>
                <w:rFonts w:hint="eastAsia"/>
                <w:szCs w:val="21"/>
                <w:lang w:val="en-US" w:eastAsia="zh-CN"/>
              </w:rPr>
              <w:t>微课程</w:t>
            </w:r>
          </w:p>
        </w:tc>
      </w:tr>
      <w:tr>
        <w:tblPrEx>
          <w:tblLayout w:type="fixed"/>
          <w:tblCellMar>
            <w:top w:w="0" w:type="dxa"/>
            <w:left w:w="108" w:type="dxa"/>
            <w:bottom w:w="0" w:type="dxa"/>
            <w:right w:w="108" w:type="dxa"/>
          </w:tblCellMar>
        </w:tblPrEx>
        <w:trPr>
          <w:trHeight w:val="552"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50</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莫拉克台风</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课程内容：本课程详细介绍了什么是莫拉克台风。</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0.5</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120" w:beforeLines="50" w:after="120" w:afterLines="50" w:line="240" w:lineRule="auto"/>
              <w:jc w:val="center"/>
              <w:rPr>
                <w:rFonts w:hint="eastAsia"/>
                <w:b/>
                <w:color w:val="000000" w:themeColor="text1"/>
                <w:szCs w:val="21"/>
                <w14:textFill>
                  <w14:solidFill>
                    <w14:schemeClr w14:val="tx1"/>
                  </w14:solidFill>
                </w14:textFill>
              </w:rPr>
            </w:pPr>
            <w:r>
              <w:rPr>
                <w:rFonts w:hint="eastAsia"/>
                <w:szCs w:val="21"/>
                <w:lang w:val="en-US" w:eastAsia="zh-CN"/>
              </w:rPr>
              <w:t>微课程</w:t>
            </w:r>
          </w:p>
        </w:tc>
      </w:tr>
      <w:tr>
        <w:tblPrEx>
          <w:tblLayout w:type="fixed"/>
          <w:tblCellMar>
            <w:top w:w="0" w:type="dxa"/>
            <w:left w:w="108" w:type="dxa"/>
            <w:bottom w:w="0" w:type="dxa"/>
            <w:right w:w="108" w:type="dxa"/>
          </w:tblCellMar>
        </w:tblPrEx>
        <w:trPr>
          <w:trHeight w:val="552"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51</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菲特台风</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课程内容：本课程详细介绍了什么是菲特台风。</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0.5</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120" w:beforeLines="50" w:after="120" w:afterLines="50" w:line="240" w:lineRule="auto"/>
              <w:jc w:val="center"/>
              <w:rPr>
                <w:rFonts w:hint="eastAsia"/>
                <w:b/>
                <w:color w:val="000000" w:themeColor="text1"/>
                <w:szCs w:val="21"/>
                <w14:textFill>
                  <w14:solidFill>
                    <w14:schemeClr w14:val="tx1"/>
                  </w14:solidFill>
                </w14:textFill>
              </w:rPr>
            </w:pPr>
            <w:r>
              <w:rPr>
                <w:rFonts w:hint="eastAsia"/>
                <w:szCs w:val="21"/>
                <w:lang w:val="en-US" w:eastAsia="zh-CN"/>
              </w:rPr>
              <w:t>微课程</w:t>
            </w:r>
          </w:p>
        </w:tc>
      </w:tr>
      <w:tr>
        <w:tblPrEx>
          <w:tblLayout w:type="fixed"/>
          <w:tblCellMar>
            <w:top w:w="0" w:type="dxa"/>
            <w:left w:w="108" w:type="dxa"/>
            <w:bottom w:w="0" w:type="dxa"/>
            <w:right w:w="108" w:type="dxa"/>
          </w:tblCellMar>
        </w:tblPrEx>
        <w:trPr>
          <w:trHeight w:val="552"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52</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河道堤防工程常见险情的分类</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课程内容：本课程详细介绍了河道堤防工程常见险情的分类。</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0.5</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120" w:beforeLines="50" w:after="120" w:afterLines="50" w:line="240" w:lineRule="auto"/>
              <w:jc w:val="center"/>
              <w:rPr>
                <w:rFonts w:hint="eastAsia"/>
                <w:b/>
                <w:color w:val="000000" w:themeColor="text1"/>
                <w:szCs w:val="21"/>
                <w14:textFill>
                  <w14:solidFill>
                    <w14:schemeClr w14:val="tx1"/>
                  </w14:solidFill>
                </w14:textFill>
              </w:rPr>
            </w:pPr>
            <w:r>
              <w:rPr>
                <w:rFonts w:hint="eastAsia"/>
                <w:szCs w:val="21"/>
                <w:lang w:val="en-US" w:eastAsia="zh-CN"/>
              </w:rPr>
              <w:t>微课程</w:t>
            </w:r>
          </w:p>
        </w:tc>
      </w:tr>
      <w:tr>
        <w:tblPrEx>
          <w:tblLayout w:type="fixed"/>
          <w:tblCellMar>
            <w:top w:w="0" w:type="dxa"/>
            <w:left w:w="108" w:type="dxa"/>
            <w:bottom w:w="0" w:type="dxa"/>
            <w:right w:w="108" w:type="dxa"/>
          </w:tblCellMar>
        </w:tblPrEx>
        <w:trPr>
          <w:trHeight w:val="552"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53</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中国历史上的洪灾</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课程内容：本课程详细介绍了中国历史上的洪灾都有哪些。</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0.5</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120" w:beforeLines="50" w:after="120" w:afterLines="50" w:line="240" w:lineRule="auto"/>
              <w:jc w:val="center"/>
              <w:rPr>
                <w:rFonts w:hint="eastAsia"/>
                <w:b/>
                <w:color w:val="000000" w:themeColor="text1"/>
                <w:szCs w:val="21"/>
                <w14:textFill>
                  <w14:solidFill>
                    <w14:schemeClr w14:val="tx1"/>
                  </w14:solidFill>
                </w14:textFill>
              </w:rPr>
            </w:pPr>
            <w:r>
              <w:rPr>
                <w:rFonts w:hint="eastAsia"/>
                <w:szCs w:val="21"/>
                <w:lang w:val="en-US" w:eastAsia="zh-CN"/>
              </w:rPr>
              <w:t>微课程</w:t>
            </w:r>
          </w:p>
        </w:tc>
      </w:tr>
      <w:tr>
        <w:tblPrEx>
          <w:tblLayout w:type="fixed"/>
          <w:tblCellMar>
            <w:top w:w="0" w:type="dxa"/>
            <w:left w:w="108" w:type="dxa"/>
            <w:bottom w:w="0" w:type="dxa"/>
            <w:right w:w="108" w:type="dxa"/>
          </w:tblCellMar>
        </w:tblPrEx>
        <w:trPr>
          <w:trHeight w:val="552"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54</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我国堤防建设伟大成就</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课程内容：本课程详细介绍了我国堤防建设伟大成就都有哪些。</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0.5</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120" w:beforeLines="50" w:after="120" w:afterLines="50" w:line="240" w:lineRule="auto"/>
              <w:jc w:val="center"/>
              <w:rPr>
                <w:rFonts w:hint="eastAsia"/>
                <w:b/>
                <w:color w:val="000000" w:themeColor="text1"/>
                <w:szCs w:val="21"/>
                <w14:textFill>
                  <w14:solidFill>
                    <w14:schemeClr w14:val="tx1"/>
                  </w14:solidFill>
                </w14:textFill>
              </w:rPr>
            </w:pPr>
            <w:r>
              <w:rPr>
                <w:rFonts w:hint="eastAsia"/>
                <w:szCs w:val="21"/>
                <w:lang w:val="en-US" w:eastAsia="zh-CN"/>
              </w:rPr>
              <w:t>微课程</w:t>
            </w:r>
          </w:p>
        </w:tc>
      </w:tr>
      <w:tr>
        <w:tblPrEx>
          <w:tblLayout w:type="fixed"/>
          <w:tblCellMar>
            <w:top w:w="0" w:type="dxa"/>
            <w:left w:w="108" w:type="dxa"/>
            <w:bottom w:w="0" w:type="dxa"/>
            <w:right w:w="108" w:type="dxa"/>
          </w:tblCellMar>
        </w:tblPrEx>
        <w:trPr>
          <w:trHeight w:val="552"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55</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旱情监测工作背景</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课程内容：本课程详细介绍了旱情监测工作背景。</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0.5</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120" w:beforeLines="50" w:after="120" w:afterLines="50" w:line="240" w:lineRule="auto"/>
              <w:jc w:val="center"/>
              <w:rPr>
                <w:rFonts w:hint="eastAsia"/>
                <w:b/>
                <w:color w:val="000000" w:themeColor="text1"/>
                <w:szCs w:val="21"/>
                <w14:textFill>
                  <w14:solidFill>
                    <w14:schemeClr w14:val="tx1"/>
                  </w14:solidFill>
                </w14:textFill>
              </w:rPr>
            </w:pPr>
            <w:r>
              <w:rPr>
                <w:rFonts w:hint="eastAsia"/>
                <w:szCs w:val="21"/>
                <w:lang w:val="en-US" w:eastAsia="zh-CN"/>
              </w:rPr>
              <w:t>微课程</w:t>
            </w:r>
          </w:p>
        </w:tc>
      </w:tr>
      <w:tr>
        <w:tblPrEx>
          <w:tblLayout w:type="fixed"/>
          <w:tblCellMar>
            <w:top w:w="0" w:type="dxa"/>
            <w:left w:w="108" w:type="dxa"/>
            <w:bottom w:w="0" w:type="dxa"/>
            <w:right w:w="108" w:type="dxa"/>
          </w:tblCellMar>
        </w:tblPrEx>
        <w:trPr>
          <w:trHeight w:val="552"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56</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旱情监测研究思路</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课程内容：本课程详细介绍了旱情监测研究思路。</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0.5</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120" w:beforeLines="50" w:after="120" w:afterLines="50" w:line="240" w:lineRule="auto"/>
              <w:jc w:val="center"/>
              <w:rPr>
                <w:rFonts w:hint="eastAsia"/>
                <w:b/>
                <w:color w:val="000000" w:themeColor="text1"/>
                <w:szCs w:val="21"/>
                <w14:textFill>
                  <w14:solidFill>
                    <w14:schemeClr w14:val="tx1"/>
                  </w14:solidFill>
                </w14:textFill>
              </w:rPr>
            </w:pPr>
            <w:r>
              <w:rPr>
                <w:rFonts w:hint="eastAsia"/>
                <w:szCs w:val="21"/>
                <w:lang w:val="en-US" w:eastAsia="zh-CN"/>
              </w:rPr>
              <w:t>微课程</w:t>
            </w:r>
          </w:p>
        </w:tc>
      </w:tr>
      <w:tr>
        <w:tblPrEx>
          <w:tblLayout w:type="fixed"/>
          <w:tblCellMar>
            <w:top w:w="0" w:type="dxa"/>
            <w:left w:w="108" w:type="dxa"/>
            <w:bottom w:w="0" w:type="dxa"/>
            <w:right w:w="108" w:type="dxa"/>
          </w:tblCellMar>
        </w:tblPrEx>
        <w:trPr>
          <w:trHeight w:val="552"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57</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旱情监测应用实践</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课程内容：本课程详细介绍了旱情监测应用实践。</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0.5</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120" w:beforeLines="50" w:after="120" w:afterLines="50" w:line="240" w:lineRule="auto"/>
              <w:jc w:val="center"/>
              <w:rPr>
                <w:rFonts w:hint="eastAsia"/>
                <w:b/>
                <w:color w:val="000000" w:themeColor="text1"/>
                <w:szCs w:val="21"/>
                <w14:textFill>
                  <w14:solidFill>
                    <w14:schemeClr w14:val="tx1"/>
                  </w14:solidFill>
                </w14:textFill>
              </w:rPr>
            </w:pPr>
            <w:r>
              <w:rPr>
                <w:rFonts w:hint="eastAsia"/>
                <w:szCs w:val="21"/>
                <w:lang w:val="en-US" w:eastAsia="zh-CN"/>
              </w:rPr>
              <w:t>微课程</w:t>
            </w:r>
          </w:p>
        </w:tc>
      </w:tr>
      <w:tr>
        <w:tblPrEx>
          <w:tblLayout w:type="fixed"/>
          <w:tblCellMar>
            <w:top w:w="0" w:type="dxa"/>
            <w:left w:w="108" w:type="dxa"/>
            <w:bottom w:w="0" w:type="dxa"/>
            <w:right w:w="108" w:type="dxa"/>
          </w:tblCellMar>
        </w:tblPrEx>
        <w:trPr>
          <w:trHeight w:val="552"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58</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认识黄河</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课程内容：本课程详细介绍了认识黄河。</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0.5</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120" w:beforeLines="50" w:after="120" w:afterLines="50" w:line="240" w:lineRule="auto"/>
              <w:jc w:val="center"/>
              <w:rPr>
                <w:rFonts w:hint="eastAsia"/>
                <w:b/>
                <w:color w:val="000000" w:themeColor="text1"/>
                <w:szCs w:val="21"/>
                <w14:textFill>
                  <w14:solidFill>
                    <w14:schemeClr w14:val="tx1"/>
                  </w14:solidFill>
                </w14:textFill>
              </w:rPr>
            </w:pPr>
            <w:r>
              <w:rPr>
                <w:rFonts w:hint="eastAsia"/>
                <w:szCs w:val="21"/>
                <w:lang w:val="en-US" w:eastAsia="zh-CN"/>
              </w:rPr>
              <w:t>微课程</w:t>
            </w:r>
          </w:p>
        </w:tc>
      </w:tr>
      <w:tr>
        <w:tblPrEx>
          <w:tblLayout w:type="fixed"/>
          <w:tblCellMar>
            <w:top w:w="0" w:type="dxa"/>
            <w:left w:w="108" w:type="dxa"/>
            <w:bottom w:w="0" w:type="dxa"/>
            <w:right w:w="108" w:type="dxa"/>
          </w:tblCellMar>
        </w:tblPrEx>
        <w:trPr>
          <w:trHeight w:val="552"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59</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黄河防洪方略和防洪工程体系</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课程内容：本课程详细介绍了黄河防洪方略和防洪工程体系。</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0.5</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120" w:beforeLines="50" w:after="120" w:afterLines="50" w:line="240" w:lineRule="auto"/>
              <w:jc w:val="center"/>
              <w:rPr>
                <w:rFonts w:hint="eastAsia"/>
                <w:b/>
                <w:color w:val="000000" w:themeColor="text1"/>
                <w:szCs w:val="21"/>
                <w14:textFill>
                  <w14:solidFill>
                    <w14:schemeClr w14:val="tx1"/>
                  </w14:solidFill>
                </w14:textFill>
              </w:rPr>
            </w:pPr>
            <w:r>
              <w:rPr>
                <w:rFonts w:hint="eastAsia"/>
                <w:szCs w:val="21"/>
                <w:lang w:val="en-US" w:eastAsia="zh-CN"/>
              </w:rPr>
              <w:t>微课程</w:t>
            </w:r>
          </w:p>
        </w:tc>
      </w:tr>
      <w:tr>
        <w:tblPrEx>
          <w:tblLayout w:type="fixed"/>
          <w:tblCellMar>
            <w:top w:w="0" w:type="dxa"/>
            <w:left w:w="108" w:type="dxa"/>
            <w:bottom w:w="0" w:type="dxa"/>
            <w:right w:w="108" w:type="dxa"/>
          </w:tblCellMar>
        </w:tblPrEx>
        <w:trPr>
          <w:trHeight w:val="552"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60</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促进黄河两岸经济发展</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课程内容：本课程详细介绍了促进黄河两岸经济发展。</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0.5</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120" w:beforeLines="50" w:after="120" w:afterLines="50" w:line="240" w:lineRule="auto"/>
              <w:jc w:val="center"/>
              <w:rPr>
                <w:rFonts w:hint="eastAsia"/>
                <w:b/>
                <w:color w:val="000000" w:themeColor="text1"/>
                <w:szCs w:val="21"/>
                <w14:textFill>
                  <w14:solidFill>
                    <w14:schemeClr w14:val="tx1"/>
                  </w14:solidFill>
                </w14:textFill>
              </w:rPr>
            </w:pPr>
            <w:r>
              <w:rPr>
                <w:rFonts w:hint="eastAsia"/>
                <w:szCs w:val="21"/>
                <w:lang w:val="en-US" w:eastAsia="zh-CN"/>
              </w:rPr>
              <w:t>微课程</w:t>
            </w:r>
          </w:p>
        </w:tc>
      </w:tr>
      <w:tr>
        <w:tblPrEx>
          <w:tblLayout w:type="fixed"/>
          <w:tblCellMar>
            <w:top w:w="0" w:type="dxa"/>
            <w:left w:w="108" w:type="dxa"/>
            <w:bottom w:w="0" w:type="dxa"/>
            <w:right w:w="108" w:type="dxa"/>
          </w:tblCellMar>
        </w:tblPrEx>
        <w:trPr>
          <w:trHeight w:val="552"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61</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农村饮用水源保护现状</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课程内容：本课程详细介绍了农村饮用水源保护现状。</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0.5</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120" w:beforeLines="50" w:after="120" w:afterLines="50" w:line="240" w:lineRule="auto"/>
              <w:jc w:val="center"/>
              <w:rPr>
                <w:rFonts w:hint="eastAsia"/>
                <w:b/>
                <w:color w:val="000000" w:themeColor="text1"/>
                <w:szCs w:val="21"/>
                <w14:textFill>
                  <w14:solidFill>
                    <w14:schemeClr w14:val="tx1"/>
                  </w14:solidFill>
                </w14:textFill>
              </w:rPr>
            </w:pPr>
            <w:r>
              <w:rPr>
                <w:rFonts w:hint="eastAsia"/>
                <w:szCs w:val="21"/>
                <w:lang w:val="en-US" w:eastAsia="zh-CN"/>
              </w:rPr>
              <w:t>微课程</w:t>
            </w:r>
          </w:p>
        </w:tc>
      </w:tr>
      <w:tr>
        <w:tblPrEx>
          <w:tblLayout w:type="fixed"/>
          <w:tblCellMar>
            <w:top w:w="0" w:type="dxa"/>
            <w:left w:w="108" w:type="dxa"/>
            <w:bottom w:w="0" w:type="dxa"/>
            <w:right w:w="108" w:type="dxa"/>
          </w:tblCellMar>
        </w:tblPrEx>
        <w:trPr>
          <w:trHeight w:val="552"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62</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饮用水源选择与取水构筑物</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课程内容：本课程详细介绍了饮用水源选择与取水构筑物。</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0.5</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120" w:beforeLines="50" w:after="120" w:afterLines="50" w:line="240" w:lineRule="auto"/>
              <w:jc w:val="center"/>
              <w:rPr>
                <w:rFonts w:hint="eastAsia"/>
                <w:b/>
                <w:color w:val="000000" w:themeColor="text1"/>
                <w:szCs w:val="21"/>
                <w14:textFill>
                  <w14:solidFill>
                    <w14:schemeClr w14:val="tx1"/>
                  </w14:solidFill>
                </w14:textFill>
              </w:rPr>
            </w:pPr>
            <w:r>
              <w:rPr>
                <w:rFonts w:hint="eastAsia"/>
                <w:szCs w:val="21"/>
                <w:lang w:val="en-US" w:eastAsia="zh-CN"/>
              </w:rPr>
              <w:t>微课程</w:t>
            </w:r>
          </w:p>
        </w:tc>
      </w:tr>
      <w:tr>
        <w:tblPrEx>
          <w:tblLayout w:type="fixed"/>
          <w:tblCellMar>
            <w:top w:w="0" w:type="dxa"/>
            <w:left w:w="108" w:type="dxa"/>
            <w:bottom w:w="0" w:type="dxa"/>
            <w:right w:w="108" w:type="dxa"/>
          </w:tblCellMar>
        </w:tblPrEx>
        <w:trPr>
          <w:trHeight w:val="552"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63</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饮用水源评价与运行管理</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课程内容：本课程详细介绍了饮用水源评价与运行管理。</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0.5</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120" w:beforeLines="50" w:after="120" w:afterLines="50" w:line="240" w:lineRule="auto"/>
              <w:jc w:val="center"/>
              <w:rPr>
                <w:rFonts w:hint="eastAsia"/>
                <w:b/>
                <w:color w:val="000000" w:themeColor="text1"/>
                <w:szCs w:val="21"/>
                <w14:textFill>
                  <w14:solidFill>
                    <w14:schemeClr w14:val="tx1"/>
                  </w14:solidFill>
                </w14:textFill>
              </w:rPr>
            </w:pPr>
            <w:r>
              <w:rPr>
                <w:rFonts w:hint="eastAsia"/>
                <w:szCs w:val="21"/>
                <w:lang w:val="en-US" w:eastAsia="zh-CN"/>
              </w:rPr>
              <w:t>微课程</w:t>
            </w:r>
          </w:p>
        </w:tc>
      </w:tr>
      <w:tr>
        <w:tblPrEx>
          <w:tblLayout w:type="fixed"/>
          <w:tblCellMar>
            <w:top w:w="0" w:type="dxa"/>
            <w:left w:w="108" w:type="dxa"/>
            <w:bottom w:w="0" w:type="dxa"/>
            <w:right w:w="108" w:type="dxa"/>
          </w:tblCellMar>
        </w:tblPrEx>
        <w:trPr>
          <w:trHeight w:val="552"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64</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水利工程勘测设计编制背景</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课程内容：本课程详细介绍了水利工程勘测设计编制背景。</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0.5</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120" w:beforeLines="50" w:after="120" w:afterLines="50" w:line="240" w:lineRule="auto"/>
              <w:jc w:val="center"/>
              <w:rPr>
                <w:rFonts w:hint="eastAsia"/>
                <w:b/>
                <w:color w:val="000000" w:themeColor="text1"/>
                <w:szCs w:val="21"/>
                <w14:textFill>
                  <w14:solidFill>
                    <w14:schemeClr w14:val="tx1"/>
                  </w14:solidFill>
                </w14:textFill>
              </w:rPr>
            </w:pPr>
            <w:r>
              <w:rPr>
                <w:rFonts w:hint="eastAsia"/>
                <w:szCs w:val="21"/>
                <w:lang w:val="en-US" w:eastAsia="zh-CN"/>
              </w:rPr>
              <w:t>微课程</w:t>
            </w:r>
          </w:p>
        </w:tc>
      </w:tr>
      <w:tr>
        <w:tblPrEx>
          <w:tblLayout w:type="fixed"/>
          <w:tblCellMar>
            <w:top w:w="0" w:type="dxa"/>
            <w:left w:w="108" w:type="dxa"/>
            <w:bottom w:w="0" w:type="dxa"/>
            <w:right w:w="108" w:type="dxa"/>
          </w:tblCellMar>
        </w:tblPrEx>
        <w:trPr>
          <w:trHeight w:val="552"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65</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水利工程勘测设计案例说明</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课程内容：本课程详细介绍了水利工程勘测设计案例说明。</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0.5</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120" w:beforeLines="50" w:after="120" w:afterLines="50" w:line="240" w:lineRule="auto"/>
              <w:jc w:val="center"/>
              <w:rPr>
                <w:rFonts w:hint="eastAsia"/>
                <w:b/>
                <w:color w:val="000000" w:themeColor="text1"/>
                <w:szCs w:val="21"/>
                <w14:textFill>
                  <w14:solidFill>
                    <w14:schemeClr w14:val="tx1"/>
                  </w14:solidFill>
                </w14:textFill>
              </w:rPr>
            </w:pPr>
            <w:r>
              <w:rPr>
                <w:rFonts w:hint="eastAsia"/>
                <w:szCs w:val="21"/>
                <w:lang w:val="en-US" w:eastAsia="zh-CN"/>
              </w:rPr>
              <w:t>微课程</w:t>
            </w:r>
          </w:p>
        </w:tc>
      </w:tr>
      <w:tr>
        <w:tblPrEx>
          <w:tblLayout w:type="fixed"/>
          <w:tblCellMar>
            <w:top w:w="0" w:type="dxa"/>
            <w:left w:w="108" w:type="dxa"/>
            <w:bottom w:w="0" w:type="dxa"/>
            <w:right w:w="108" w:type="dxa"/>
          </w:tblCellMar>
        </w:tblPrEx>
        <w:trPr>
          <w:trHeight w:val="552"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66</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遥感运用在河湖监管的背景</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课程内容：本课程详细介绍了遥感运用在河湖监管的背景。</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0.5</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120" w:beforeLines="50" w:after="120" w:afterLines="50" w:line="240" w:lineRule="auto"/>
              <w:jc w:val="center"/>
              <w:rPr>
                <w:rFonts w:hint="eastAsia"/>
                <w:b/>
                <w:color w:val="000000" w:themeColor="text1"/>
                <w:szCs w:val="21"/>
                <w14:textFill>
                  <w14:solidFill>
                    <w14:schemeClr w14:val="tx1"/>
                  </w14:solidFill>
                </w14:textFill>
              </w:rPr>
            </w:pPr>
            <w:r>
              <w:rPr>
                <w:rFonts w:hint="eastAsia"/>
                <w:szCs w:val="21"/>
                <w:lang w:val="en-US" w:eastAsia="zh-CN"/>
              </w:rPr>
              <w:t>微课程</w:t>
            </w:r>
          </w:p>
        </w:tc>
      </w:tr>
      <w:tr>
        <w:tblPrEx>
          <w:tblLayout w:type="fixed"/>
          <w:tblCellMar>
            <w:top w:w="0" w:type="dxa"/>
            <w:left w:w="108" w:type="dxa"/>
            <w:bottom w:w="0" w:type="dxa"/>
            <w:right w:w="108" w:type="dxa"/>
          </w:tblCellMar>
        </w:tblPrEx>
        <w:trPr>
          <w:trHeight w:val="552"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67</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遥感技术进展史</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课程内容：本课程详细介绍了遥感技术进展史。</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0.5</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120" w:beforeLines="50" w:after="120" w:afterLines="50" w:line="240" w:lineRule="auto"/>
              <w:jc w:val="center"/>
              <w:rPr>
                <w:rFonts w:hint="eastAsia"/>
                <w:b/>
                <w:color w:val="000000" w:themeColor="text1"/>
                <w:szCs w:val="21"/>
                <w14:textFill>
                  <w14:solidFill>
                    <w14:schemeClr w14:val="tx1"/>
                  </w14:solidFill>
                </w14:textFill>
              </w:rPr>
            </w:pPr>
            <w:r>
              <w:rPr>
                <w:rFonts w:hint="eastAsia"/>
                <w:szCs w:val="21"/>
                <w:lang w:val="en-US" w:eastAsia="zh-CN"/>
              </w:rPr>
              <w:t>微课程</w:t>
            </w:r>
          </w:p>
        </w:tc>
      </w:tr>
      <w:tr>
        <w:tblPrEx>
          <w:tblLayout w:type="fixed"/>
          <w:tblCellMar>
            <w:top w:w="0" w:type="dxa"/>
            <w:left w:w="108" w:type="dxa"/>
            <w:bottom w:w="0" w:type="dxa"/>
            <w:right w:w="108" w:type="dxa"/>
          </w:tblCellMar>
        </w:tblPrEx>
        <w:trPr>
          <w:trHeight w:val="552"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68</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遥感在河湖监管中的应用</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课程内容：本课程详细介绍了遥感在河湖监管中的应用。</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0.5</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120" w:beforeLines="50" w:after="120" w:afterLines="50" w:line="240" w:lineRule="auto"/>
              <w:jc w:val="center"/>
              <w:rPr>
                <w:rFonts w:hint="eastAsia"/>
                <w:b/>
                <w:color w:val="000000" w:themeColor="text1"/>
                <w:szCs w:val="21"/>
                <w14:textFill>
                  <w14:solidFill>
                    <w14:schemeClr w14:val="tx1"/>
                  </w14:solidFill>
                </w14:textFill>
              </w:rPr>
            </w:pPr>
            <w:r>
              <w:rPr>
                <w:rFonts w:hint="eastAsia"/>
                <w:szCs w:val="21"/>
                <w:lang w:val="en-US" w:eastAsia="zh-CN"/>
              </w:rPr>
              <w:t>微课程</w:t>
            </w:r>
          </w:p>
        </w:tc>
      </w:tr>
      <w:tr>
        <w:tblPrEx>
          <w:tblLayout w:type="fixed"/>
          <w:tblCellMar>
            <w:top w:w="0" w:type="dxa"/>
            <w:left w:w="108" w:type="dxa"/>
            <w:bottom w:w="0" w:type="dxa"/>
            <w:right w:w="108" w:type="dxa"/>
          </w:tblCellMar>
        </w:tblPrEx>
        <w:trPr>
          <w:trHeight w:val="552"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69</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湖北省湖泊遥感监测案例</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课程内容：本课程详细介绍了湖北省湖泊遥感监测案例。</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0.5</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120" w:beforeLines="50" w:after="120" w:afterLines="50" w:line="240" w:lineRule="auto"/>
              <w:jc w:val="center"/>
              <w:rPr>
                <w:rFonts w:hint="eastAsia"/>
                <w:b/>
                <w:color w:val="000000" w:themeColor="text1"/>
                <w:szCs w:val="21"/>
                <w14:textFill>
                  <w14:solidFill>
                    <w14:schemeClr w14:val="tx1"/>
                  </w14:solidFill>
                </w14:textFill>
              </w:rPr>
            </w:pPr>
            <w:r>
              <w:rPr>
                <w:rFonts w:hint="eastAsia"/>
                <w:szCs w:val="21"/>
                <w:lang w:val="en-US" w:eastAsia="zh-CN"/>
              </w:rPr>
              <w:t>微课程</w:t>
            </w:r>
          </w:p>
        </w:tc>
      </w:tr>
      <w:tr>
        <w:tblPrEx>
          <w:tblLayout w:type="fixed"/>
          <w:tblCellMar>
            <w:top w:w="0" w:type="dxa"/>
            <w:left w:w="108" w:type="dxa"/>
            <w:bottom w:w="0" w:type="dxa"/>
            <w:right w:w="108" w:type="dxa"/>
          </w:tblCellMar>
        </w:tblPrEx>
        <w:trPr>
          <w:trHeight w:val="552"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70</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遥感技术的展望</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课程内容：本课程详细介绍了遥感技术的展望。</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0.5</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120" w:beforeLines="50" w:after="120" w:afterLines="50" w:line="240" w:lineRule="auto"/>
              <w:jc w:val="center"/>
              <w:rPr>
                <w:rFonts w:hint="eastAsia"/>
                <w:b/>
                <w:color w:val="000000" w:themeColor="text1"/>
                <w:szCs w:val="21"/>
                <w14:textFill>
                  <w14:solidFill>
                    <w14:schemeClr w14:val="tx1"/>
                  </w14:solidFill>
                </w14:textFill>
              </w:rPr>
            </w:pPr>
            <w:r>
              <w:rPr>
                <w:rFonts w:hint="eastAsia"/>
                <w:szCs w:val="21"/>
                <w:lang w:val="en-US" w:eastAsia="zh-CN"/>
              </w:rPr>
              <w:t>微课程</w:t>
            </w:r>
          </w:p>
        </w:tc>
      </w:tr>
      <w:tr>
        <w:tblPrEx>
          <w:tblLayout w:type="fixed"/>
          <w:tblCellMar>
            <w:top w:w="0" w:type="dxa"/>
            <w:left w:w="108" w:type="dxa"/>
            <w:bottom w:w="0" w:type="dxa"/>
            <w:right w:w="108" w:type="dxa"/>
          </w:tblCellMar>
        </w:tblPrEx>
        <w:trPr>
          <w:trHeight w:val="552" w:hRule="atLeast"/>
          <w:jc w:val="center"/>
        </w:trPr>
        <w:tc>
          <w:tcPr>
            <w:tcW w:w="1510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before="120" w:beforeLines="50" w:after="120" w:afterLines="50" w:line="240" w:lineRule="auto"/>
              <w:rPr>
                <w:b/>
                <w:color w:val="000000" w:themeColor="text1"/>
                <w:szCs w:val="21"/>
                <w14:textFill>
                  <w14:solidFill>
                    <w14:schemeClr w14:val="tx1"/>
                  </w14:solidFill>
                </w14:textFill>
              </w:rPr>
            </w:pPr>
            <w:r>
              <w:rPr>
                <w:rFonts w:hint="eastAsia"/>
                <w:b/>
                <w:color w:val="000000" w:themeColor="text1"/>
                <w:szCs w:val="21"/>
                <w:lang w:val="en-US" w:eastAsia="zh-CN"/>
                <w14:textFill>
                  <w14:solidFill>
                    <w14:schemeClr w14:val="tx1"/>
                  </w14:solidFill>
                </w14:textFill>
              </w:rPr>
              <w:t>二</w:t>
            </w:r>
            <w:r>
              <w:rPr>
                <w:rFonts w:hint="eastAsia"/>
                <w:b/>
                <w:color w:val="000000" w:themeColor="text1"/>
                <w:szCs w:val="21"/>
                <w14:textFill>
                  <w14:solidFill>
                    <w14:schemeClr w14:val="tx1"/>
                  </w14:solidFill>
                </w14:textFill>
              </w:rPr>
              <w:t>、党性教育培训课程（共</w:t>
            </w:r>
            <w:r>
              <w:rPr>
                <w:rFonts w:hint="eastAsia"/>
                <w:b/>
                <w:color w:val="000000" w:themeColor="text1"/>
                <w:szCs w:val="21"/>
                <w:lang w:val="en-US" w:eastAsia="zh-CN"/>
                <w14:textFill>
                  <w14:solidFill>
                    <w14:schemeClr w14:val="tx1"/>
                  </w14:solidFill>
                </w14:textFill>
              </w:rPr>
              <w:t>43</w:t>
            </w:r>
            <w:r>
              <w:rPr>
                <w:rFonts w:hint="eastAsia"/>
                <w:b/>
                <w:color w:val="000000" w:themeColor="text1"/>
                <w:szCs w:val="21"/>
                <w14:textFill>
                  <w14:solidFill>
                    <w14:schemeClr w14:val="tx1"/>
                  </w14:solidFill>
                </w14:textFill>
              </w:rPr>
              <w:t>门课程、</w:t>
            </w:r>
            <w:r>
              <w:rPr>
                <w:rFonts w:hint="eastAsia"/>
                <w:b/>
                <w:color w:val="000000" w:themeColor="text1"/>
                <w:szCs w:val="21"/>
                <w:lang w:val="en-US" w:eastAsia="zh-CN"/>
                <w14:textFill>
                  <w14:solidFill>
                    <w14:schemeClr w14:val="tx1"/>
                  </w14:solidFill>
                </w14:textFill>
              </w:rPr>
              <w:t>41.5</w:t>
            </w:r>
            <w:r>
              <w:rPr>
                <w:rFonts w:hint="eastAsia"/>
                <w:b/>
                <w:color w:val="000000" w:themeColor="text1"/>
                <w:szCs w:val="21"/>
                <w14:textFill>
                  <w14:solidFill>
                    <w14:schemeClr w14:val="tx1"/>
                  </w14:solidFill>
                </w14:textFill>
              </w:rPr>
              <w:t>个学时，</w:t>
            </w:r>
            <w:r>
              <w:rPr>
                <w:b/>
                <w:color w:val="000000" w:themeColor="text1"/>
                <w:szCs w:val="21"/>
                <w14:textFill>
                  <w14:solidFill>
                    <w14:schemeClr w14:val="tx1"/>
                  </w14:solidFill>
                </w14:textFill>
              </w:rPr>
              <w:t>其中微课程</w:t>
            </w:r>
            <w:r>
              <w:rPr>
                <w:rFonts w:hint="eastAsia"/>
                <w:b/>
                <w:color w:val="000000" w:themeColor="text1"/>
                <w:szCs w:val="21"/>
                <w:lang w:val="en-US" w:eastAsia="zh-CN"/>
                <w14:textFill>
                  <w14:solidFill>
                    <w14:schemeClr w14:val="tx1"/>
                  </w14:solidFill>
                </w14:textFill>
              </w:rPr>
              <w:t>34</w:t>
            </w:r>
            <w:r>
              <w:rPr>
                <w:rFonts w:hint="eastAsia"/>
                <w:b/>
                <w:color w:val="000000" w:themeColor="text1"/>
                <w:szCs w:val="21"/>
                <w14:textFill>
                  <w14:solidFill>
                    <w14:schemeClr w14:val="tx1"/>
                  </w14:solidFill>
                </w14:textFill>
              </w:rPr>
              <w:t>门）</w:t>
            </w:r>
          </w:p>
        </w:tc>
      </w:tr>
      <w:tr>
        <w:tblPrEx>
          <w:tblLayout w:type="fixed"/>
          <w:tblCellMar>
            <w:top w:w="0" w:type="dxa"/>
            <w:left w:w="108" w:type="dxa"/>
            <w:bottom w:w="0" w:type="dxa"/>
            <w:right w:w="108" w:type="dxa"/>
          </w:tblCellMar>
        </w:tblPrEx>
        <w:trPr>
          <w:trHeight w:val="1496"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themeColor="text1"/>
                <w:sz w:val="21"/>
                <w:szCs w:val="21"/>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1</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促进人与自然和谐共生——学习贯彻党的十九届五中全会精神</w:t>
            </w:r>
          </w:p>
        </w:tc>
        <w:tc>
          <w:tcPr>
            <w:tcW w:w="8788"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hint="default"/>
                <w:bCs/>
                <w:color w:val="000000" w:themeColor="text1"/>
                <w:szCs w:val="21"/>
                <w:lang w:val="en-US"/>
                <w14:textFill>
                  <w14:solidFill>
                    <w14:schemeClr w14:val="tx1"/>
                  </w14:solidFill>
                </w14:textFill>
              </w:rPr>
            </w:pPr>
            <w:r>
              <w:rPr>
                <w:rFonts w:hint="eastAsia" w:ascii="宋体" w:hAnsi="宋体" w:eastAsia="宋体" w:cs="宋体"/>
                <w:i w:val="0"/>
                <w:color w:val="000000"/>
                <w:kern w:val="0"/>
                <w:sz w:val="22"/>
                <w:szCs w:val="22"/>
                <w:u w:val="none"/>
                <w:lang w:val="en-US" w:eastAsia="zh-CN" w:bidi="ar"/>
              </w:rPr>
              <w:t>中央党校社会和生态文明教研部的教授赵建军</w:t>
            </w:r>
            <w:r>
              <w:rPr>
                <w:rFonts w:hint="eastAsia" w:ascii="宋体" w:hAnsi="宋体" w:cs="宋体"/>
                <w:i w:val="0"/>
                <w:color w:val="000000"/>
                <w:kern w:val="0"/>
                <w:sz w:val="22"/>
                <w:szCs w:val="22"/>
                <w:u w:val="none"/>
                <w:lang w:val="en-US" w:eastAsia="zh-CN" w:bidi="ar"/>
              </w:rPr>
              <w:t>主讲。</w:t>
            </w:r>
          </w:p>
          <w:p>
            <w:pPr>
              <w:spacing w:line="240" w:lineRule="auto"/>
              <w:rPr>
                <w:rFonts w:cs="Arial"/>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课程内容：</w:t>
            </w:r>
            <w:r>
              <w:rPr>
                <w:rFonts w:hint="eastAsia" w:ascii="宋体" w:hAnsi="宋体" w:cs="宋体"/>
                <w:color w:val="000000"/>
                <w:kern w:val="0"/>
                <w:szCs w:val="21"/>
              </w:rPr>
              <w:t>重点分析了“十四五”规划中的绿色发展四大着力点，分析了加强生态文明制度体系建设的紧迫性，阐明了如何加快形成高质量发展的绿色生产方式和生活方式。</w:t>
            </w:r>
          </w:p>
        </w:tc>
        <w:tc>
          <w:tcPr>
            <w:tcW w:w="1100"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3</w:t>
            </w:r>
          </w:p>
        </w:tc>
        <w:tc>
          <w:tcPr>
            <w:tcW w:w="984"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bCs/>
                <w:color w:val="000000" w:themeColor="text1"/>
                <w:szCs w:val="21"/>
                <w14:textFill>
                  <w14:solidFill>
                    <w14:schemeClr w14:val="tx1"/>
                  </w14:solidFill>
                </w14:textFill>
              </w:rPr>
            </w:pPr>
          </w:p>
        </w:tc>
      </w:tr>
      <w:tr>
        <w:tblPrEx>
          <w:tblLayout w:type="fixed"/>
          <w:tblCellMar>
            <w:top w:w="0" w:type="dxa"/>
            <w:left w:w="108" w:type="dxa"/>
            <w:bottom w:w="0" w:type="dxa"/>
            <w:right w:w="108" w:type="dxa"/>
          </w:tblCellMar>
        </w:tblPrEx>
        <w:trPr>
          <w:trHeight w:val="1249"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themeColor="text1"/>
                <w:sz w:val="21"/>
                <w:szCs w:val="21"/>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2</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全面从严治党 强化对权力运行的制约和监督</w:t>
            </w:r>
          </w:p>
        </w:tc>
        <w:tc>
          <w:tcPr>
            <w:tcW w:w="8788"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hint="eastAsia" w:eastAsia="宋体"/>
                <w:bCs/>
                <w:color w:val="000000" w:themeColor="text1"/>
                <w:szCs w:val="21"/>
                <w:lang w:val="en-US" w:eastAsia="zh-CN"/>
                <w14:textFill>
                  <w14:solidFill>
                    <w14:schemeClr w14:val="tx1"/>
                  </w14:solidFill>
                </w14:textFill>
              </w:rPr>
            </w:pPr>
            <w:r>
              <w:rPr>
                <w:rFonts w:ascii="宋体" w:hAnsi="宋体" w:cs="宋体"/>
                <w:color w:val="000000"/>
                <w:kern w:val="0"/>
                <w:szCs w:val="21"/>
              </w:rPr>
              <w:t>中共中央党校（国家行政学院）党的建设教研部教授曹鹏飞</w:t>
            </w:r>
            <w:r>
              <w:rPr>
                <w:rFonts w:hint="eastAsia" w:ascii="宋体" w:hAnsi="宋体" w:cs="宋体"/>
                <w:color w:val="000000"/>
                <w:kern w:val="0"/>
                <w:szCs w:val="21"/>
                <w:lang w:val="en-US" w:eastAsia="zh-CN"/>
              </w:rPr>
              <w:t>主讲。</w:t>
            </w:r>
          </w:p>
          <w:p>
            <w:pPr>
              <w:spacing w:line="240" w:lineRule="auto"/>
              <w:rPr>
                <w:rFonts w:cs="Arial"/>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课程内容：</w:t>
            </w:r>
            <w:r>
              <w:rPr>
                <w:rFonts w:ascii="宋体" w:hAnsi="宋体" w:cs="宋体"/>
                <w:color w:val="000000"/>
                <w:kern w:val="0"/>
                <w:szCs w:val="21"/>
              </w:rPr>
              <w:t>总结新时代全面从严治党的历史性成就，深刻阐释了我们党实现自我革命的成功道路、有效制度。</w:t>
            </w:r>
          </w:p>
        </w:tc>
        <w:tc>
          <w:tcPr>
            <w:tcW w:w="1100"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hint="default" w:eastAsia="宋体"/>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2</w:t>
            </w:r>
          </w:p>
        </w:tc>
        <w:tc>
          <w:tcPr>
            <w:tcW w:w="984"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bCs/>
                <w:color w:val="000000" w:themeColor="text1"/>
                <w:szCs w:val="21"/>
                <w14:textFill>
                  <w14:solidFill>
                    <w14:schemeClr w14:val="tx1"/>
                  </w14:solidFill>
                </w14:textFill>
              </w:rPr>
            </w:pPr>
          </w:p>
        </w:tc>
      </w:tr>
      <w:tr>
        <w:tblPrEx>
          <w:tblLayout w:type="fixed"/>
          <w:tblCellMar>
            <w:top w:w="0" w:type="dxa"/>
            <w:left w:w="108" w:type="dxa"/>
            <w:bottom w:w="0" w:type="dxa"/>
            <w:right w:w="108" w:type="dxa"/>
          </w:tblCellMar>
        </w:tblPrEx>
        <w:trPr>
          <w:trHeight w:val="1281"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themeColor="text1"/>
                <w:sz w:val="21"/>
                <w:szCs w:val="21"/>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3</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一刻不停歇地推动作风建设向纵深发展 ——习近平总书记纠正“四风”重要指示（上）</w:t>
            </w:r>
          </w:p>
        </w:tc>
        <w:tc>
          <w:tcPr>
            <w:tcW w:w="8788"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hint="eastAsia" w:eastAsia="宋体"/>
                <w:bCs/>
                <w:color w:val="000000" w:themeColor="text1"/>
                <w:szCs w:val="21"/>
                <w:lang w:val="en-US" w:eastAsia="zh-CN"/>
                <w14:textFill>
                  <w14:solidFill>
                    <w14:schemeClr w14:val="tx1"/>
                  </w14:solidFill>
                </w14:textFill>
              </w:rPr>
            </w:pPr>
            <w:r>
              <w:rPr>
                <w:rFonts w:hint="eastAsia" w:ascii="宋体" w:hAnsi="宋体" w:cs="宋体"/>
                <w:color w:val="000000"/>
                <w:kern w:val="0"/>
                <w:szCs w:val="21"/>
              </w:rPr>
              <w:t>国家行政学院法学部副主任/教授杨小军</w:t>
            </w:r>
            <w:r>
              <w:rPr>
                <w:rFonts w:hint="eastAsia" w:ascii="宋体" w:hAnsi="宋体" w:cs="宋体"/>
                <w:color w:val="000000"/>
                <w:kern w:val="0"/>
                <w:szCs w:val="21"/>
                <w:lang w:val="en-US" w:eastAsia="zh-CN"/>
              </w:rPr>
              <w:t>主讲。</w:t>
            </w:r>
          </w:p>
          <w:p>
            <w:pPr>
              <w:spacing w:line="240" w:lineRule="auto"/>
              <w:rPr>
                <w:rFonts w:ascii="微软雅黑" w:hAnsi="微软雅黑" w:eastAsia="微软雅黑" w:cs="宋体"/>
                <w:color w:val="000000" w:themeColor="text1"/>
                <w:kern w:val="0"/>
                <w:sz w:val="22"/>
                <w:szCs w:val="22"/>
                <w14:textFill>
                  <w14:solidFill>
                    <w14:schemeClr w14:val="tx1"/>
                  </w14:solidFill>
                </w14:textFill>
              </w:rPr>
            </w:pPr>
            <w:r>
              <w:rPr>
                <w:rFonts w:hint="eastAsia"/>
                <w:bCs/>
                <w:color w:val="000000" w:themeColor="text1"/>
                <w:szCs w:val="21"/>
                <w14:textFill>
                  <w14:solidFill>
                    <w14:schemeClr w14:val="tx1"/>
                  </w14:solidFill>
                </w14:textFill>
              </w:rPr>
              <w:t>课程内容：</w:t>
            </w:r>
            <w:r>
              <w:rPr>
                <w:rFonts w:hint="eastAsia"/>
                <w:bCs/>
                <w:color w:val="000000" w:themeColor="text1"/>
                <w:szCs w:val="21"/>
                <w:lang w:val="en-US" w:eastAsia="zh-CN"/>
                <w14:textFill>
                  <w14:solidFill>
                    <w14:schemeClr w14:val="tx1"/>
                  </w14:solidFill>
                </w14:textFill>
              </w:rPr>
              <w:t>本课程详细介绍了</w:t>
            </w:r>
            <w:r>
              <w:rPr>
                <w:rFonts w:hint="eastAsia" w:ascii="宋体" w:hAnsi="宋体" w:cs="宋体"/>
                <w:color w:val="000000"/>
                <w:kern w:val="0"/>
                <w:szCs w:val="21"/>
              </w:rPr>
              <w:t>习近平总书记纠正“四风”重要指示</w:t>
            </w:r>
            <w:r>
              <w:rPr>
                <w:rFonts w:hint="eastAsia" w:ascii="宋体" w:hAnsi="宋体" w:cs="宋体"/>
                <w:color w:val="000000"/>
                <w:kern w:val="0"/>
                <w:szCs w:val="21"/>
                <w:lang w:val="en-US" w:eastAsia="zh-CN"/>
              </w:rPr>
              <w:t>有哪些</w:t>
            </w:r>
            <w:r>
              <w:rPr>
                <w:rFonts w:hint="eastAsia" w:ascii="宋体" w:hAnsi="宋体" w:cs="宋体"/>
                <w:color w:val="000000"/>
                <w:kern w:val="0"/>
                <w:szCs w:val="21"/>
                <w:lang w:eastAsia="zh-CN"/>
              </w:rPr>
              <w:t>。</w:t>
            </w:r>
          </w:p>
        </w:tc>
        <w:tc>
          <w:tcPr>
            <w:tcW w:w="1100"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hint="default" w:eastAsia="宋体"/>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0.5</w:t>
            </w:r>
          </w:p>
        </w:tc>
        <w:tc>
          <w:tcPr>
            <w:tcW w:w="984"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bCs/>
                <w:color w:val="000000" w:themeColor="text1"/>
                <w:szCs w:val="21"/>
                <w14:textFill>
                  <w14:solidFill>
                    <w14:schemeClr w14:val="tx1"/>
                  </w14:solidFill>
                </w14:textFill>
              </w:rPr>
            </w:pPr>
            <w:r>
              <w:rPr>
                <w:rFonts w:hint="eastAsia"/>
                <w:bCs/>
                <w:color w:val="000000" w:themeColor="text1"/>
                <w:szCs w:val="21"/>
                <w:lang w:eastAsia="zh-CN"/>
                <w14:textFill>
                  <w14:solidFill>
                    <w14:schemeClr w14:val="tx1"/>
                  </w14:solidFill>
                </w14:textFill>
              </w:rPr>
              <w:t>微课程</w:t>
            </w:r>
          </w:p>
        </w:tc>
      </w:tr>
      <w:tr>
        <w:tblPrEx>
          <w:tblLayout w:type="fixed"/>
          <w:tblCellMar>
            <w:top w:w="0" w:type="dxa"/>
            <w:left w:w="108" w:type="dxa"/>
            <w:bottom w:w="0" w:type="dxa"/>
            <w:right w:w="108" w:type="dxa"/>
          </w:tblCellMar>
        </w:tblPrEx>
        <w:trPr>
          <w:trHeight w:val="1481"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4</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一刻不停歇地推动作风建设向纵深发展 ——习近平总书记纠正“四风”重要指示（下）</w:t>
            </w:r>
          </w:p>
        </w:tc>
        <w:tc>
          <w:tcPr>
            <w:tcW w:w="8788"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hint="eastAsia" w:eastAsia="宋体"/>
                <w:bCs/>
                <w:color w:val="000000" w:themeColor="text1"/>
                <w:szCs w:val="21"/>
                <w:lang w:val="en-US" w:eastAsia="zh-CN"/>
                <w14:textFill>
                  <w14:solidFill>
                    <w14:schemeClr w14:val="tx1"/>
                  </w14:solidFill>
                </w14:textFill>
              </w:rPr>
            </w:pPr>
            <w:r>
              <w:rPr>
                <w:rFonts w:hint="eastAsia" w:ascii="宋体" w:hAnsi="宋体" w:cs="宋体"/>
                <w:color w:val="000000"/>
                <w:kern w:val="0"/>
                <w:szCs w:val="21"/>
              </w:rPr>
              <w:t>国家行政学院法学部副主任/教授杨小军</w:t>
            </w:r>
            <w:r>
              <w:rPr>
                <w:rFonts w:hint="eastAsia" w:ascii="宋体" w:hAnsi="宋体" w:cs="宋体"/>
                <w:color w:val="000000"/>
                <w:kern w:val="0"/>
                <w:szCs w:val="21"/>
                <w:lang w:val="en-US" w:eastAsia="zh-CN"/>
              </w:rPr>
              <w:t>主讲。</w:t>
            </w:r>
          </w:p>
          <w:p>
            <w:pPr>
              <w:spacing w:line="240" w:lineRule="auto"/>
              <w:rPr>
                <w:rFonts w:hint="eastAsia"/>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课程内容：</w:t>
            </w:r>
            <w:r>
              <w:rPr>
                <w:rFonts w:hint="eastAsia"/>
                <w:bCs/>
                <w:color w:val="000000" w:themeColor="text1"/>
                <w:szCs w:val="21"/>
                <w:lang w:val="en-US" w:eastAsia="zh-CN"/>
                <w14:textFill>
                  <w14:solidFill>
                    <w14:schemeClr w14:val="tx1"/>
                  </w14:solidFill>
                </w14:textFill>
              </w:rPr>
              <w:t>本课程详细介绍了</w:t>
            </w:r>
            <w:r>
              <w:rPr>
                <w:rFonts w:hint="eastAsia" w:ascii="宋体" w:hAnsi="宋体" w:cs="宋体"/>
                <w:color w:val="000000"/>
                <w:kern w:val="0"/>
                <w:szCs w:val="21"/>
              </w:rPr>
              <w:t>习近平总书记纠正“四风”重要指示</w:t>
            </w:r>
            <w:r>
              <w:rPr>
                <w:rFonts w:hint="eastAsia" w:ascii="宋体" w:hAnsi="宋体" w:cs="宋体"/>
                <w:color w:val="000000"/>
                <w:kern w:val="0"/>
                <w:szCs w:val="21"/>
                <w:lang w:val="en-US" w:eastAsia="zh-CN"/>
              </w:rPr>
              <w:t>有哪些</w:t>
            </w:r>
            <w:r>
              <w:rPr>
                <w:rFonts w:hint="eastAsia" w:ascii="宋体" w:hAnsi="宋体" w:cs="宋体"/>
                <w:color w:val="000000"/>
                <w:kern w:val="0"/>
                <w:szCs w:val="21"/>
                <w:lang w:eastAsia="zh-CN"/>
              </w:rPr>
              <w:t>。</w:t>
            </w:r>
          </w:p>
        </w:tc>
        <w:tc>
          <w:tcPr>
            <w:tcW w:w="1100"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0.5</w:t>
            </w:r>
          </w:p>
        </w:tc>
        <w:tc>
          <w:tcPr>
            <w:tcW w:w="984"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hint="eastAsia"/>
                <w:bCs/>
                <w:color w:val="000000" w:themeColor="text1"/>
                <w:szCs w:val="21"/>
                <w:lang w:eastAsia="zh-CN"/>
                <w14:textFill>
                  <w14:solidFill>
                    <w14:schemeClr w14:val="tx1"/>
                  </w14:solidFill>
                </w14:textFill>
              </w:rPr>
            </w:pPr>
            <w:r>
              <w:rPr>
                <w:rFonts w:hint="eastAsia"/>
                <w:bCs/>
                <w:color w:val="000000" w:themeColor="text1"/>
                <w:szCs w:val="21"/>
                <w:lang w:eastAsia="zh-CN"/>
                <w14:textFill>
                  <w14:solidFill>
                    <w14:schemeClr w14:val="tx1"/>
                  </w14:solidFill>
                </w14:textFill>
              </w:rPr>
              <w:t>微课程</w:t>
            </w:r>
          </w:p>
        </w:tc>
      </w:tr>
      <w:tr>
        <w:tblPrEx>
          <w:tblLayout w:type="fixed"/>
          <w:tblCellMar>
            <w:top w:w="0" w:type="dxa"/>
            <w:left w:w="108" w:type="dxa"/>
            <w:bottom w:w="0" w:type="dxa"/>
            <w:right w:w="108" w:type="dxa"/>
          </w:tblCellMar>
        </w:tblPrEx>
        <w:trPr>
          <w:trHeight w:val="1121"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eastAsia="宋体"/>
                <w:color w:val="000000" w:themeColor="text1"/>
                <w:sz w:val="21"/>
                <w:szCs w:val="21"/>
                <w:lang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5</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党的十九届五中全会精神解读</w:t>
            </w:r>
          </w:p>
        </w:tc>
        <w:tc>
          <w:tcPr>
            <w:tcW w:w="8788"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hint="default"/>
                <w:bCs/>
                <w:color w:val="000000" w:themeColor="text1"/>
                <w:szCs w:val="21"/>
                <w:lang w:val="en-US"/>
                <w14:textFill>
                  <w14:solidFill>
                    <w14:schemeClr w14:val="tx1"/>
                  </w14:solidFill>
                </w14:textFill>
              </w:rPr>
            </w:pPr>
            <w:r>
              <w:rPr>
                <w:rFonts w:hint="eastAsia" w:ascii="宋体" w:hAnsi="宋体" w:eastAsia="宋体" w:cs="宋体"/>
                <w:i w:val="0"/>
                <w:color w:val="000000"/>
                <w:kern w:val="0"/>
                <w:sz w:val="22"/>
                <w:szCs w:val="22"/>
                <w:u w:val="none"/>
                <w:lang w:val="en-US" w:eastAsia="zh-CN" w:bidi="ar"/>
              </w:rPr>
              <w:t>中共中央党校（国家行政学院）教授、博士生导师周文彰</w:t>
            </w:r>
            <w:r>
              <w:rPr>
                <w:rFonts w:hint="eastAsia" w:ascii="宋体" w:hAnsi="宋体" w:cs="宋体"/>
                <w:i w:val="0"/>
                <w:color w:val="000000"/>
                <w:kern w:val="0"/>
                <w:sz w:val="22"/>
                <w:szCs w:val="22"/>
                <w:u w:val="none"/>
                <w:lang w:val="en-US" w:eastAsia="zh-CN" w:bidi="ar"/>
              </w:rPr>
              <w:t>主讲。</w:t>
            </w:r>
          </w:p>
          <w:p>
            <w:pPr>
              <w:spacing w:line="240" w:lineRule="auto"/>
              <w:rPr>
                <w:rFonts w:ascii="微软雅黑" w:hAnsi="微软雅黑" w:cs="宋体"/>
                <w:color w:val="000000" w:themeColor="text1"/>
                <w:kern w:val="0"/>
                <w:sz w:val="22"/>
                <w:szCs w:val="22"/>
                <w14:textFill>
                  <w14:solidFill>
                    <w14:schemeClr w14:val="tx1"/>
                  </w14:solidFill>
                </w14:textFill>
              </w:rPr>
            </w:pPr>
            <w:r>
              <w:rPr>
                <w:rFonts w:hint="eastAsia"/>
                <w:bCs/>
                <w:color w:val="000000" w:themeColor="text1"/>
                <w:szCs w:val="21"/>
                <w14:textFill>
                  <w14:solidFill>
                    <w14:schemeClr w14:val="tx1"/>
                  </w14:solidFill>
                </w14:textFill>
              </w:rPr>
              <w:t>课程内容：</w:t>
            </w:r>
            <w:r>
              <w:rPr>
                <w:rFonts w:hint="eastAsia" w:ascii="宋体" w:hAnsi="宋体" w:cs="宋体"/>
                <w:color w:val="000000"/>
                <w:kern w:val="0"/>
                <w:szCs w:val="21"/>
              </w:rPr>
              <w:t>十九届五中全会重要精神解读，重点围绕加快发展现代产业体系、推动经济体系优化升级，推动绿色发展、促进人与自然和谐共生，统筹发展和安全、建设更高水平的平安中国，改善人民生活品质、提高社会建设水平等内容。</w:t>
            </w:r>
          </w:p>
        </w:tc>
        <w:tc>
          <w:tcPr>
            <w:tcW w:w="1100"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hint="eastAsia" w:eastAsia="宋体"/>
                <w:bCs/>
                <w:color w:val="000000" w:themeColor="text1"/>
                <w:szCs w:val="21"/>
                <w:lang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2.5</w:t>
            </w:r>
          </w:p>
        </w:tc>
        <w:tc>
          <w:tcPr>
            <w:tcW w:w="984"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bCs/>
                <w:color w:val="000000" w:themeColor="text1"/>
                <w:szCs w:val="21"/>
                <w14:textFill>
                  <w14:solidFill>
                    <w14:schemeClr w14:val="tx1"/>
                  </w14:solidFill>
                </w14:textFill>
              </w:rPr>
            </w:pPr>
          </w:p>
        </w:tc>
      </w:tr>
      <w:tr>
        <w:tblPrEx>
          <w:tblLayout w:type="fixed"/>
          <w:tblCellMar>
            <w:top w:w="0" w:type="dxa"/>
            <w:left w:w="108" w:type="dxa"/>
            <w:bottom w:w="0" w:type="dxa"/>
            <w:right w:w="108" w:type="dxa"/>
          </w:tblCellMar>
        </w:tblPrEx>
        <w:trPr>
          <w:trHeight w:val="1121"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themeColor="text1"/>
                <w:sz w:val="21"/>
                <w:szCs w:val="21"/>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6</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新时代党员领导干部治国理政的“八大本领”修炼（上）</w:t>
            </w:r>
          </w:p>
        </w:tc>
        <w:tc>
          <w:tcPr>
            <w:tcW w:w="8788"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hint="eastAsia" w:eastAsia="宋体"/>
                <w:bCs/>
                <w:color w:val="000000" w:themeColor="text1"/>
                <w:szCs w:val="21"/>
                <w:lang w:val="en-US" w:eastAsia="zh-CN"/>
                <w14:textFill>
                  <w14:solidFill>
                    <w14:schemeClr w14:val="tx1"/>
                  </w14:solidFill>
                </w14:textFill>
              </w:rPr>
            </w:pPr>
            <w:r>
              <w:rPr>
                <w:rFonts w:hint="eastAsia" w:ascii="宋体" w:hAnsi="宋体" w:cs="宋体"/>
                <w:color w:val="000000"/>
                <w:kern w:val="0"/>
                <w:szCs w:val="21"/>
              </w:rPr>
              <w:t>中共中央党校党建部教授曹鹏飞</w:t>
            </w:r>
            <w:r>
              <w:rPr>
                <w:rFonts w:hint="eastAsia" w:ascii="宋体" w:hAnsi="宋体" w:cs="宋体"/>
                <w:color w:val="000000"/>
                <w:kern w:val="0"/>
                <w:szCs w:val="21"/>
                <w:lang w:val="en-US" w:eastAsia="zh-CN"/>
              </w:rPr>
              <w:t>主讲。</w:t>
            </w:r>
          </w:p>
          <w:p>
            <w:pPr>
              <w:spacing w:line="240" w:lineRule="auto"/>
              <w:rPr>
                <w:rFonts w:hint="eastAsia"/>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课程内容：</w:t>
            </w:r>
            <w:r>
              <w:rPr>
                <w:rFonts w:hint="eastAsia"/>
                <w:bCs/>
                <w:color w:val="000000" w:themeColor="text1"/>
                <w:szCs w:val="21"/>
                <w:lang w:val="en-US" w:eastAsia="zh-CN"/>
                <w14:textFill>
                  <w14:solidFill>
                    <w14:schemeClr w14:val="tx1"/>
                  </w14:solidFill>
                </w14:textFill>
              </w:rPr>
              <w:t>本课程详细介绍了</w:t>
            </w:r>
            <w:r>
              <w:rPr>
                <w:rFonts w:hint="eastAsia" w:ascii="宋体" w:hAnsi="宋体" w:cs="宋体"/>
                <w:color w:val="000000"/>
                <w:kern w:val="0"/>
                <w:szCs w:val="21"/>
              </w:rPr>
              <w:t>新时代党员领导干部治国理政的“八大本领”修炼</w:t>
            </w:r>
            <w:r>
              <w:rPr>
                <w:rFonts w:hint="eastAsia" w:ascii="宋体" w:hAnsi="宋体" w:cs="宋体"/>
                <w:color w:val="000000"/>
                <w:kern w:val="0"/>
                <w:szCs w:val="21"/>
                <w:lang w:eastAsia="zh-CN"/>
              </w:rPr>
              <w:t>。</w:t>
            </w:r>
          </w:p>
        </w:tc>
        <w:tc>
          <w:tcPr>
            <w:tcW w:w="1100"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0.5</w:t>
            </w:r>
          </w:p>
        </w:tc>
        <w:tc>
          <w:tcPr>
            <w:tcW w:w="984"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bCs/>
                <w:color w:val="000000" w:themeColor="text1"/>
                <w:szCs w:val="21"/>
                <w14:textFill>
                  <w14:solidFill>
                    <w14:schemeClr w14:val="tx1"/>
                  </w14:solidFill>
                </w14:textFill>
              </w:rPr>
            </w:pPr>
            <w:r>
              <w:rPr>
                <w:rFonts w:hint="eastAsia"/>
                <w:bCs/>
                <w:color w:val="000000" w:themeColor="text1"/>
                <w:szCs w:val="21"/>
                <w:lang w:eastAsia="zh-CN"/>
                <w14:textFill>
                  <w14:solidFill>
                    <w14:schemeClr w14:val="tx1"/>
                  </w14:solidFill>
                </w14:textFill>
              </w:rPr>
              <w:t>微课程</w:t>
            </w:r>
          </w:p>
        </w:tc>
      </w:tr>
      <w:tr>
        <w:tblPrEx>
          <w:tblLayout w:type="fixed"/>
          <w:tblCellMar>
            <w:top w:w="0" w:type="dxa"/>
            <w:left w:w="108" w:type="dxa"/>
            <w:bottom w:w="0" w:type="dxa"/>
            <w:right w:w="108" w:type="dxa"/>
          </w:tblCellMar>
        </w:tblPrEx>
        <w:trPr>
          <w:trHeight w:val="1121"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7</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新时代党员领导干部治国理政的“八大本领”修炼（下）</w:t>
            </w:r>
          </w:p>
        </w:tc>
        <w:tc>
          <w:tcPr>
            <w:tcW w:w="8788"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hint="eastAsia" w:eastAsia="宋体"/>
                <w:bCs/>
                <w:color w:val="000000" w:themeColor="text1"/>
                <w:szCs w:val="21"/>
                <w:lang w:val="en-US" w:eastAsia="zh-CN"/>
                <w14:textFill>
                  <w14:solidFill>
                    <w14:schemeClr w14:val="tx1"/>
                  </w14:solidFill>
                </w14:textFill>
              </w:rPr>
            </w:pPr>
            <w:r>
              <w:rPr>
                <w:rFonts w:hint="eastAsia" w:ascii="宋体" w:hAnsi="宋体" w:cs="宋体"/>
                <w:color w:val="000000"/>
                <w:kern w:val="0"/>
                <w:szCs w:val="21"/>
              </w:rPr>
              <w:t>中共中央党校党建部教授曹鹏飞</w:t>
            </w:r>
            <w:r>
              <w:rPr>
                <w:rFonts w:hint="eastAsia" w:ascii="宋体" w:hAnsi="宋体" w:cs="宋体"/>
                <w:color w:val="000000"/>
                <w:kern w:val="0"/>
                <w:szCs w:val="21"/>
                <w:lang w:val="en-US" w:eastAsia="zh-CN"/>
              </w:rPr>
              <w:t>主讲。</w:t>
            </w:r>
          </w:p>
          <w:p>
            <w:pPr>
              <w:spacing w:line="240" w:lineRule="auto"/>
              <w:rPr>
                <w:rFonts w:hint="eastAsia"/>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课程内容：</w:t>
            </w:r>
            <w:r>
              <w:rPr>
                <w:rFonts w:hint="eastAsia"/>
                <w:bCs/>
                <w:color w:val="000000" w:themeColor="text1"/>
                <w:szCs w:val="21"/>
                <w:lang w:val="en-US" w:eastAsia="zh-CN"/>
                <w14:textFill>
                  <w14:solidFill>
                    <w14:schemeClr w14:val="tx1"/>
                  </w14:solidFill>
                </w14:textFill>
              </w:rPr>
              <w:t>本课程详细介绍了</w:t>
            </w:r>
            <w:r>
              <w:rPr>
                <w:rFonts w:hint="eastAsia" w:ascii="宋体" w:hAnsi="宋体" w:cs="宋体"/>
                <w:color w:val="000000"/>
                <w:kern w:val="0"/>
                <w:szCs w:val="21"/>
              </w:rPr>
              <w:t>新时代党员领导干部治国理政的“八大本领”修炼</w:t>
            </w:r>
            <w:r>
              <w:rPr>
                <w:rFonts w:hint="eastAsia" w:ascii="宋体" w:hAnsi="宋体" w:cs="宋体"/>
                <w:color w:val="000000"/>
                <w:kern w:val="0"/>
                <w:szCs w:val="21"/>
                <w:lang w:eastAsia="zh-CN"/>
              </w:rPr>
              <w:t>。</w:t>
            </w:r>
          </w:p>
        </w:tc>
        <w:tc>
          <w:tcPr>
            <w:tcW w:w="1100"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0.5</w:t>
            </w:r>
          </w:p>
        </w:tc>
        <w:tc>
          <w:tcPr>
            <w:tcW w:w="984"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bCs/>
                <w:color w:val="000000" w:themeColor="text1"/>
                <w:szCs w:val="21"/>
                <w14:textFill>
                  <w14:solidFill>
                    <w14:schemeClr w14:val="tx1"/>
                  </w14:solidFill>
                </w14:textFill>
              </w:rPr>
            </w:pPr>
            <w:r>
              <w:rPr>
                <w:rFonts w:hint="eastAsia"/>
                <w:bCs/>
                <w:color w:val="000000" w:themeColor="text1"/>
                <w:szCs w:val="21"/>
                <w:lang w:eastAsia="zh-CN"/>
                <w14:textFill>
                  <w14:solidFill>
                    <w14:schemeClr w14:val="tx1"/>
                  </w14:solidFill>
                </w14:textFill>
              </w:rPr>
              <w:t>微课程</w:t>
            </w:r>
          </w:p>
        </w:tc>
      </w:tr>
      <w:tr>
        <w:tblPrEx>
          <w:tblLayout w:type="fixed"/>
          <w:tblCellMar>
            <w:top w:w="0" w:type="dxa"/>
            <w:left w:w="108" w:type="dxa"/>
            <w:bottom w:w="0" w:type="dxa"/>
            <w:right w:w="108" w:type="dxa"/>
          </w:tblCellMar>
        </w:tblPrEx>
        <w:trPr>
          <w:trHeight w:val="1259"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eastAsia="宋体"/>
                <w:color w:val="000000" w:themeColor="text1"/>
                <w:sz w:val="21"/>
                <w:szCs w:val="21"/>
                <w:lang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8</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党的领导是中国特色社会主义制度的最大优势</w:t>
            </w:r>
          </w:p>
        </w:tc>
        <w:tc>
          <w:tcPr>
            <w:tcW w:w="8788"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hint="eastAsia" w:ascii="宋体" w:hAnsi="宋体" w:cs="宋体"/>
                <w:color w:val="000000"/>
                <w:kern w:val="0"/>
                <w:szCs w:val="21"/>
                <w:lang w:val="en-US" w:eastAsia="zh-CN"/>
              </w:rPr>
            </w:pPr>
            <w:r>
              <w:rPr>
                <w:rFonts w:hint="eastAsia" w:ascii="宋体" w:hAnsi="宋体" w:cs="宋体"/>
                <w:color w:val="000000"/>
                <w:kern w:val="0"/>
                <w:szCs w:val="21"/>
              </w:rPr>
              <w:t>中共中央党校（国家行政学院）科学社会主义教研部教授李志勇</w:t>
            </w:r>
            <w:r>
              <w:rPr>
                <w:rFonts w:hint="eastAsia" w:ascii="宋体" w:hAnsi="宋体" w:cs="宋体"/>
                <w:color w:val="000000"/>
                <w:kern w:val="0"/>
                <w:szCs w:val="21"/>
                <w:lang w:val="en-US" w:eastAsia="zh-CN"/>
              </w:rPr>
              <w:t>主讲。</w:t>
            </w:r>
          </w:p>
          <w:p>
            <w:pPr>
              <w:spacing w:line="240" w:lineRule="auto"/>
              <w:rPr>
                <w:rFonts w:ascii="微软雅黑" w:hAnsi="微软雅黑" w:eastAsia="微软雅黑" w:cs="宋体"/>
                <w:color w:val="000000" w:themeColor="text1"/>
                <w:kern w:val="0"/>
                <w:sz w:val="22"/>
                <w:szCs w:val="22"/>
                <w14:textFill>
                  <w14:solidFill>
                    <w14:schemeClr w14:val="tx1"/>
                  </w14:solidFill>
                </w14:textFill>
              </w:rPr>
            </w:pPr>
            <w:r>
              <w:rPr>
                <w:rFonts w:hint="eastAsia"/>
                <w:bCs/>
                <w:color w:val="000000" w:themeColor="text1"/>
                <w:szCs w:val="21"/>
                <w14:textFill>
                  <w14:solidFill>
                    <w14:schemeClr w14:val="tx1"/>
                  </w14:solidFill>
                </w14:textFill>
              </w:rPr>
              <w:t>课程内容：</w:t>
            </w:r>
            <w:r>
              <w:rPr>
                <w:rFonts w:hint="eastAsia"/>
                <w:bCs/>
                <w:color w:val="000000" w:themeColor="text1"/>
                <w:szCs w:val="21"/>
                <w:lang w:val="en-US" w:eastAsia="zh-CN"/>
                <w14:textFill>
                  <w14:solidFill>
                    <w14:schemeClr w14:val="tx1"/>
                  </w14:solidFill>
                </w14:textFill>
              </w:rPr>
              <w:t>本课程详细介绍了</w:t>
            </w:r>
            <w:r>
              <w:rPr>
                <w:rFonts w:hint="eastAsia" w:ascii="宋体" w:hAnsi="宋体" w:cs="宋体"/>
                <w:color w:val="000000"/>
                <w:kern w:val="0"/>
                <w:szCs w:val="21"/>
              </w:rPr>
              <w:t>党的领导是中国特色社会主义制度的最大优势</w:t>
            </w:r>
            <w:r>
              <w:rPr>
                <w:rFonts w:hint="eastAsia" w:ascii="宋体" w:hAnsi="宋体" w:cs="宋体"/>
                <w:color w:val="000000"/>
                <w:kern w:val="0"/>
                <w:szCs w:val="21"/>
                <w:lang w:eastAsia="zh-CN"/>
              </w:rPr>
              <w:t>。</w:t>
            </w:r>
          </w:p>
        </w:tc>
        <w:tc>
          <w:tcPr>
            <w:tcW w:w="1100"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hint="eastAsia" w:eastAsia="宋体"/>
                <w:bCs/>
                <w:color w:val="000000" w:themeColor="text1"/>
                <w:szCs w:val="21"/>
                <w:lang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0.5</w:t>
            </w:r>
          </w:p>
        </w:tc>
        <w:tc>
          <w:tcPr>
            <w:tcW w:w="984"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bCs/>
                <w:color w:val="000000" w:themeColor="text1"/>
                <w:szCs w:val="21"/>
                <w14:textFill>
                  <w14:solidFill>
                    <w14:schemeClr w14:val="tx1"/>
                  </w14:solidFill>
                </w14:textFill>
              </w:rPr>
            </w:pPr>
            <w:r>
              <w:rPr>
                <w:rFonts w:hint="eastAsia"/>
                <w:bCs/>
                <w:color w:val="000000" w:themeColor="text1"/>
                <w:szCs w:val="21"/>
                <w:lang w:eastAsia="zh-CN"/>
                <w14:textFill>
                  <w14:solidFill>
                    <w14:schemeClr w14:val="tx1"/>
                  </w14:solidFill>
                </w14:textFill>
              </w:rPr>
              <w:t>微课程</w:t>
            </w:r>
          </w:p>
        </w:tc>
      </w:tr>
      <w:tr>
        <w:tblPrEx>
          <w:tblLayout w:type="fixed"/>
          <w:tblCellMar>
            <w:top w:w="0" w:type="dxa"/>
            <w:left w:w="108" w:type="dxa"/>
            <w:bottom w:w="0" w:type="dxa"/>
            <w:right w:w="108" w:type="dxa"/>
          </w:tblCellMar>
        </w:tblPrEx>
        <w:trPr>
          <w:trHeight w:val="1276"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eastAsia="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9</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如何准确理解党的领导制度</w:t>
            </w:r>
          </w:p>
        </w:tc>
        <w:tc>
          <w:tcPr>
            <w:tcW w:w="8788"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hint="eastAsia" w:ascii="宋体" w:hAnsi="宋体" w:cs="宋体"/>
                <w:color w:val="000000"/>
                <w:kern w:val="0"/>
                <w:szCs w:val="21"/>
                <w:lang w:val="en-US" w:eastAsia="zh-CN"/>
              </w:rPr>
            </w:pPr>
            <w:r>
              <w:rPr>
                <w:rFonts w:hint="eastAsia" w:ascii="宋体" w:hAnsi="宋体" w:cs="宋体"/>
                <w:color w:val="000000"/>
                <w:kern w:val="0"/>
                <w:szCs w:val="21"/>
              </w:rPr>
              <w:t>中共中央党校（国家行政学院）科学社会主义教研部教授李志勇</w:t>
            </w:r>
            <w:r>
              <w:rPr>
                <w:rFonts w:hint="eastAsia" w:ascii="宋体" w:hAnsi="宋体" w:cs="宋体"/>
                <w:color w:val="000000"/>
                <w:kern w:val="0"/>
                <w:szCs w:val="21"/>
                <w:lang w:val="en-US" w:eastAsia="zh-CN"/>
              </w:rPr>
              <w:t>主讲。</w:t>
            </w:r>
          </w:p>
          <w:p>
            <w:pPr>
              <w:spacing w:line="240" w:lineRule="auto"/>
              <w:rPr>
                <w:rFonts w:ascii="微软雅黑" w:hAnsi="微软雅黑" w:eastAsia="微软雅黑" w:cs="宋体"/>
                <w:color w:val="000000" w:themeColor="text1"/>
                <w:kern w:val="0"/>
                <w:sz w:val="22"/>
                <w:szCs w:val="22"/>
                <w14:textFill>
                  <w14:solidFill>
                    <w14:schemeClr w14:val="tx1"/>
                  </w14:solidFill>
                </w14:textFill>
              </w:rPr>
            </w:pPr>
            <w:r>
              <w:rPr>
                <w:rFonts w:hint="eastAsia"/>
                <w:bCs/>
                <w:color w:val="000000" w:themeColor="text1"/>
                <w:szCs w:val="21"/>
                <w14:textFill>
                  <w14:solidFill>
                    <w14:schemeClr w14:val="tx1"/>
                  </w14:solidFill>
                </w14:textFill>
              </w:rPr>
              <w:t>课程内容：</w:t>
            </w:r>
            <w:r>
              <w:rPr>
                <w:rFonts w:hint="eastAsia"/>
                <w:bCs/>
                <w:color w:val="000000" w:themeColor="text1"/>
                <w:szCs w:val="21"/>
                <w:lang w:val="en-US" w:eastAsia="zh-CN"/>
                <w14:textFill>
                  <w14:solidFill>
                    <w14:schemeClr w14:val="tx1"/>
                  </w14:solidFill>
                </w14:textFill>
              </w:rPr>
              <w:t>本课程详细介绍了</w:t>
            </w:r>
            <w:r>
              <w:rPr>
                <w:rFonts w:hint="eastAsia" w:ascii="宋体" w:hAnsi="宋体" w:cs="宋体"/>
                <w:color w:val="000000"/>
                <w:kern w:val="0"/>
                <w:szCs w:val="21"/>
              </w:rPr>
              <w:t>如何准确理解党的领导制度</w:t>
            </w:r>
            <w:r>
              <w:rPr>
                <w:rFonts w:hint="eastAsia" w:ascii="宋体" w:hAnsi="宋体" w:cs="宋体"/>
                <w:color w:val="000000"/>
                <w:kern w:val="0"/>
                <w:szCs w:val="21"/>
                <w:lang w:eastAsia="zh-CN"/>
              </w:rPr>
              <w:t>。</w:t>
            </w:r>
          </w:p>
        </w:tc>
        <w:tc>
          <w:tcPr>
            <w:tcW w:w="1100"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hint="eastAsia" w:eastAsia="宋体"/>
                <w:bCs/>
                <w:color w:val="000000" w:themeColor="text1"/>
                <w:szCs w:val="21"/>
                <w:lang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0.5</w:t>
            </w:r>
          </w:p>
        </w:tc>
        <w:tc>
          <w:tcPr>
            <w:tcW w:w="984"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bCs/>
                <w:color w:val="000000" w:themeColor="text1"/>
                <w:szCs w:val="21"/>
                <w14:textFill>
                  <w14:solidFill>
                    <w14:schemeClr w14:val="tx1"/>
                  </w14:solidFill>
                </w14:textFill>
              </w:rPr>
            </w:pPr>
            <w:r>
              <w:rPr>
                <w:rFonts w:hint="eastAsia"/>
                <w:bCs/>
                <w:color w:val="000000" w:themeColor="text1"/>
                <w:szCs w:val="21"/>
                <w:lang w:eastAsia="zh-CN"/>
                <w14:textFill>
                  <w14:solidFill>
                    <w14:schemeClr w14:val="tx1"/>
                  </w14:solidFill>
                </w14:textFill>
              </w:rPr>
              <w:t>微课程</w:t>
            </w:r>
          </w:p>
        </w:tc>
      </w:tr>
      <w:tr>
        <w:tblPrEx>
          <w:tblLayout w:type="fixed"/>
          <w:tblCellMar>
            <w:top w:w="0" w:type="dxa"/>
            <w:left w:w="108" w:type="dxa"/>
            <w:bottom w:w="0" w:type="dxa"/>
            <w:right w:w="108" w:type="dxa"/>
          </w:tblCellMar>
        </w:tblPrEx>
        <w:trPr>
          <w:trHeight w:val="1075"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eastAsia="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10</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如何理解中国共产党是马克思主义执政党</w:t>
            </w:r>
          </w:p>
        </w:tc>
        <w:tc>
          <w:tcPr>
            <w:tcW w:w="8788"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hint="eastAsia" w:ascii="宋体" w:hAnsi="宋体" w:cs="宋体"/>
                <w:color w:val="000000"/>
                <w:kern w:val="0"/>
                <w:szCs w:val="21"/>
                <w:lang w:val="en-US" w:eastAsia="zh-CN"/>
              </w:rPr>
            </w:pPr>
            <w:r>
              <w:rPr>
                <w:rFonts w:hint="eastAsia" w:ascii="宋体" w:hAnsi="宋体" w:cs="宋体"/>
                <w:color w:val="000000"/>
                <w:kern w:val="0"/>
                <w:szCs w:val="21"/>
              </w:rPr>
              <w:t>中共中央党校（国家行政学院）科学社会主义教研部教授李志勇</w:t>
            </w:r>
            <w:r>
              <w:rPr>
                <w:rFonts w:hint="eastAsia" w:ascii="宋体" w:hAnsi="宋体" w:cs="宋体"/>
                <w:color w:val="000000"/>
                <w:kern w:val="0"/>
                <w:szCs w:val="21"/>
                <w:lang w:val="en-US" w:eastAsia="zh-CN"/>
              </w:rPr>
              <w:t>主讲。</w:t>
            </w:r>
          </w:p>
          <w:p>
            <w:pPr>
              <w:spacing w:line="240" w:lineRule="auto"/>
              <w:rPr>
                <w:rFonts w:cs="Arial"/>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课程内容：</w:t>
            </w:r>
            <w:r>
              <w:rPr>
                <w:rFonts w:hint="eastAsia"/>
                <w:bCs/>
                <w:color w:val="000000" w:themeColor="text1"/>
                <w:szCs w:val="21"/>
                <w:lang w:val="en-US" w:eastAsia="zh-CN"/>
                <w14:textFill>
                  <w14:solidFill>
                    <w14:schemeClr w14:val="tx1"/>
                  </w14:solidFill>
                </w14:textFill>
              </w:rPr>
              <w:t>本课程详细介绍了</w:t>
            </w:r>
            <w:r>
              <w:rPr>
                <w:rFonts w:hint="eastAsia" w:ascii="宋体" w:hAnsi="宋体" w:cs="宋体"/>
                <w:color w:val="000000"/>
                <w:kern w:val="0"/>
                <w:szCs w:val="21"/>
              </w:rPr>
              <w:t>如何理解中国共产党是马克思主义执政党</w:t>
            </w:r>
            <w:r>
              <w:rPr>
                <w:rFonts w:hint="eastAsia" w:ascii="宋体" w:hAnsi="宋体" w:cs="宋体"/>
                <w:color w:val="000000"/>
                <w:kern w:val="0"/>
                <w:szCs w:val="21"/>
                <w:lang w:eastAsia="zh-CN"/>
              </w:rPr>
              <w:t>。</w:t>
            </w:r>
          </w:p>
        </w:tc>
        <w:tc>
          <w:tcPr>
            <w:tcW w:w="1100"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0.5</w:t>
            </w:r>
          </w:p>
        </w:tc>
        <w:tc>
          <w:tcPr>
            <w:tcW w:w="984"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bCs/>
                <w:color w:val="000000" w:themeColor="text1"/>
                <w:szCs w:val="21"/>
                <w14:textFill>
                  <w14:solidFill>
                    <w14:schemeClr w14:val="tx1"/>
                  </w14:solidFill>
                </w14:textFill>
              </w:rPr>
            </w:pPr>
            <w:r>
              <w:rPr>
                <w:rFonts w:hint="eastAsia"/>
                <w:bCs/>
                <w:color w:val="000000" w:themeColor="text1"/>
                <w:szCs w:val="21"/>
                <w:lang w:eastAsia="zh-CN"/>
                <w14:textFill>
                  <w14:solidFill>
                    <w14:schemeClr w14:val="tx1"/>
                  </w14:solidFill>
                </w14:textFill>
              </w:rPr>
              <w:t>微课程</w:t>
            </w:r>
          </w:p>
        </w:tc>
      </w:tr>
      <w:tr>
        <w:tblPrEx>
          <w:tblLayout w:type="fixed"/>
          <w:tblCellMar>
            <w:top w:w="0" w:type="dxa"/>
            <w:left w:w="108" w:type="dxa"/>
            <w:bottom w:w="0" w:type="dxa"/>
            <w:right w:w="108" w:type="dxa"/>
          </w:tblCellMar>
        </w:tblPrEx>
        <w:trPr>
          <w:trHeight w:val="1297"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eastAsia="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11</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《决定》关于完善和落实党内政治生活制度规定的要求是什么？</w:t>
            </w:r>
          </w:p>
        </w:tc>
        <w:tc>
          <w:tcPr>
            <w:tcW w:w="8788"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hint="eastAsia" w:ascii="宋体" w:hAnsi="宋体" w:cs="宋体"/>
                <w:color w:val="000000"/>
                <w:kern w:val="0"/>
                <w:szCs w:val="21"/>
                <w:lang w:val="en-US" w:eastAsia="zh-CN"/>
              </w:rPr>
            </w:pPr>
            <w:r>
              <w:rPr>
                <w:rFonts w:hint="eastAsia" w:ascii="宋体" w:hAnsi="宋体" w:cs="宋体"/>
                <w:color w:val="000000"/>
                <w:kern w:val="0"/>
                <w:szCs w:val="21"/>
              </w:rPr>
              <w:t>中共中央党校（国家行政学院）科学社会主义教研部教授李志勇</w:t>
            </w:r>
            <w:r>
              <w:rPr>
                <w:rFonts w:hint="eastAsia" w:ascii="宋体" w:hAnsi="宋体" w:cs="宋体"/>
                <w:color w:val="000000"/>
                <w:kern w:val="0"/>
                <w:szCs w:val="21"/>
                <w:lang w:val="en-US" w:eastAsia="zh-CN"/>
              </w:rPr>
              <w:t>主讲。</w:t>
            </w:r>
          </w:p>
          <w:p>
            <w:pPr>
              <w:spacing w:line="240" w:lineRule="auto"/>
              <w:rPr>
                <w:rFonts w:cs="Arial"/>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课程内容：</w:t>
            </w:r>
            <w:r>
              <w:rPr>
                <w:rFonts w:hint="eastAsia"/>
                <w:bCs/>
                <w:color w:val="000000" w:themeColor="text1"/>
                <w:szCs w:val="21"/>
                <w:lang w:val="en-US" w:eastAsia="zh-CN"/>
                <w14:textFill>
                  <w14:solidFill>
                    <w14:schemeClr w14:val="tx1"/>
                  </w14:solidFill>
                </w14:textFill>
              </w:rPr>
              <w:t>本课程详细介绍了</w:t>
            </w:r>
            <w:r>
              <w:rPr>
                <w:rFonts w:hint="eastAsia" w:ascii="宋体" w:hAnsi="宋体" w:cs="宋体"/>
                <w:color w:val="000000"/>
                <w:kern w:val="0"/>
                <w:szCs w:val="21"/>
              </w:rPr>
              <w:t>《决定》关于完善和落实党内政治生活制度规定的要求</w:t>
            </w:r>
            <w:r>
              <w:rPr>
                <w:rFonts w:hint="eastAsia" w:ascii="宋体" w:hAnsi="宋体" w:cs="宋体"/>
                <w:color w:val="000000"/>
                <w:kern w:val="0"/>
                <w:szCs w:val="21"/>
                <w:lang w:eastAsia="zh-CN"/>
              </w:rPr>
              <w:t>。</w:t>
            </w:r>
          </w:p>
        </w:tc>
        <w:tc>
          <w:tcPr>
            <w:tcW w:w="1100"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0.5</w:t>
            </w:r>
          </w:p>
        </w:tc>
        <w:tc>
          <w:tcPr>
            <w:tcW w:w="984"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bCs/>
                <w:color w:val="000000" w:themeColor="text1"/>
                <w:szCs w:val="21"/>
                <w14:textFill>
                  <w14:solidFill>
                    <w14:schemeClr w14:val="tx1"/>
                  </w14:solidFill>
                </w14:textFill>
              </w:rPr>
            </w:pPr>
            <w:r>
              <w:rPr>
                <w:rFonts w:hint="eastAsia"/>
                <w:bCs/>
                <w:color w:val="000000" w:themeColor="text1"/>
                <w:szCs w:val="21"/>
                <w:lang w:eastAsia="zh-CN"/>
                <w14:textFill>
                  <w14:solidFill>
                    <w14:schemeClr w14:val="tx1"/>
                  </w14:solidFill>
                </w14:textFill>
              </w:rPr>
              <w:t>微课程</w:t>
            </w:r>
          </w:p>
        </w:tc>
      </w:tr>
      <w:tr>
        <w:tblPrEx>
          <w:tblLayout w:type="fixed"/>
          <w:tblCellMar>
            <w:top w:w="0" w:type="dxa"/>
            <w:left w:w="108" w:type="dxa"/>
            <w:bottom w:w="0" w:type="dxa"/>
            <w:right w:w="108" w:type="dxa"/>
          </w:tblCellMar>
        </w:tblPrEx>
        <w:trPr>
          <w:trHeight w:val="989"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eastAsia="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12</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eastAsia="微软雅黑"/>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加强法治思维 建设法治国家</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hint="eastAsia" w:eastAsia="宋体"/>
                <w:bCs/>
                <w:color w:val="000000" w:themeColor="text1"/>
                <w:szCs w:val="21"/>
                <w:lang w:val="en-US" w:eastAsia="zh-CN"/>
                <w14:textFill>
                  <w14:solidFill>
                    <w14:schemeClr w14:val="tx1"/>
                  </w14:solidFill>
                </w14:textFill>
              </w:rPr>
            </w:pPr>
            <w:r>
              <w:rPr>
                <w:rFonts w:ascii="宋体" w:hAnsi="宋体" w:cs="宋体"/>
                <w:color w:val="000000"/>
                <w:kern w:val="0"/>
                <w:szCs w:val="21"/>
              </w:rPr>
              <w:t>中央党校（国家行政学院）政治和法律教研部民商经济法教研室主任、教授王伟</w:t>
            </w:r>
            <w:r>
              <w:rPr>
                <w:rFonts w:hint="eastAsia" w:ascii="宋体" w:hAnsi="宋体" w:cs="宋体"/>
                <w:color w:val="000000"/>
                <w:kern w:val="0"/>
                <w:szCs w:val="21"/>
                <w:lang w:val="en-US" w:eastAsia="zh-CN"/>
              </w:rPr>
              <w:t>主讲。</w:t>
            </w:r>
          </w:p>
          <w:p>
            <w:pPr>
              <w:spacing w:line="240" w:lineRule="auto"/>
              <w:rPr>
                <w:rFonts w:cs="Arial"/>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课程内容：</w:t>
            </w:r>
            <w:r>
              <w:rPr>
                <w:rFonts w:ascii="宋体" w:hAnsi="宋体" w:cs="宋体"/>
                <w:color w:val="000000"/>
                <w:kern w:val="0"/>
                <w:szCs w:val="21"/>
              </w:rPr>
              <w:t>对法治思维的理论进行了分析、对法治思维的实践展开论述。</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eastAsia="宋体"/>
                <w:bCs/>
                <w:color w:val="000000" w:themeColor="text1"/>
                <w:szCs w:val="21"/>
                <w:lang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2</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bCs/>
                <w:color w:val="000000" w:themeColor="text1"/>
                <w:szCs w:val="21"/>
                <w14:textFill>
                  <w14:solidFill>
                    <w14:schemeClr w14:val="tx1"/>
                  </w14:solidFill>
                </w14:textFill>
              </w:rPr>
            </w:pPr>
          </w:p>
        </w:tc>
      </w:tr>
      <w:tr>
        <w:tblPrEx>
          <w:tblLayout w:type="fixed"/>
          <w:tblCellMar>
            <w:top w:w="0" w:type="dxa"/>
            <w:left w:w="108" w:type="dxa"/>
            <w:bottom w:w="0" w:type="dxa"/>
            <w:right w:w="108" w:type="dxa"/>
          </w:tblCellMar>
        </w:tblPrEx>
        <w:trPr>
          <w:trHeight w:val="1259"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eastAsia="宋体"/>
                <w:color w:val="000000" w:themeColor="text1"/>
                <w:sz w:val="21"/>
                <w:szCs w:val="21"/>
                <w:lang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13</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深入学习贯彻党的十九届五中全会精神，开启全面建设社会主义现代化国家新征程</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hint="eastAsia"/>
                <w:bCs/>
                <w:color w:val="000000" w:themeColor="text1"/>
                <w:szCs w:val="21"/>
                <w14:textFill>
                  <w14:solidFill>
                    <w14:schemeClr w14:val="tx1"/>
                  </w14:solidFill>
                </w14:textFill>
              </w:rPr>
            </w:pPr>
            <w:r>
              <w:rPr>
                <w:rFonts w:hint="eastAsia" w:ascii="宋体" w:hAnsi="宋体" w:eastAsia="宋体" w:cs="宋体"/>
                <w:i w:val="0"/>
                <w:color w:val="000000"/>
                <w:kern w:val="0"/>
                <w:sz w:val="22"/>
                <w:szCs w:val="22"/>
                <w:u w:val="none"/>
                <w:lang w:val="en-US" w:eastAsia="zh-CN" w:bidi="ar"/>
              </w:rPr>
              <w:t>中共中央党校（国家行政学院）政治和法律教研部教授、博士生导师任进</w:t>
            </w:r>
            <w:r>
              <w:rPr>
                <w:rFonts w:hint="eastAsia" w:ascii="宋体" w:hAnsi="宋体" w:cs="宋体"/>
                <w:i w:val="0"/>
                <w:color w:val="000000"/>
                <w:kern w:val="0"/>
                <w:sz w:val="22"/>
                <w:szCs w:val="22"/>
                <w:u w:val="none"/>
                <w:lang w:val="en-US" w:eastAsia="zh-CN" w:bidi="ar"/>
              </w:rPr>
              <w:t>。</w:t>
            </w:r>
          </w:p>
          <w:p>
            <w:pPr>
              <w:spacing w:line="240" w:lineRule="auto"/>
              <w:rPr>
                <w:rFonts w:cs="Arial"/>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课程内容：</w:t>
            </w:r>
            <w:r>
              <w:rPr>
                <w:rFonts w:hint="eastAsia" w:ascii="宋体" w:hAnsi="宋体" w:cs="宋体"/>
                <w:color w:val="000000"/>
                <w:kern w:val="0"/>
                <w:szCs w:val="21"/>
              </w:rPr>
              <w:t>解读党的十九届五中全会的召开和重大意义，“十四五”时期发展环境、基本原则和规划《建议》的核心要义，“十四五”时期经济社会发展主要目标和重点任务。</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default" w:eastAsia="宋体"/>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3</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bCs/>
                <w:color w:val="000000" w:themeColor="text1"/>
                <w:szCs w:val="21"/>
                <w14:textFill>
                  <w14:solidFill>
                    <w14:schemeClr w14:val="tx1"/>
                  </w14:solidFill>
                </w14:textFill>
              </w:rPr>
            </w:pPr>
          </w:p>
        </w:tc>
      </w:tr>
      <w:tr>
        <w:tblPrEx>
          <w:tblLayout w:type="fixed"/>
          <w:tblCellMar>
            <w:top w:w="0" w:type="dxa"/>
            <w:left w:w="108" w:type="dxa"/>
            <w:bottom w:w="0" w:type="dxa"/>
            <w:right w:w="108" w:type="dxa"/>
          </w:tblCellMar>
        </w:tblPrEx>
        <w:trPr>
          <w:trHeight w:val="1135"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eastAsia="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14</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党的十九届五中全会关于2035年远景目标的战略构想</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hint="default"/>
                <w:bCs/>
                <w:color w:val="000000" w:themeColor="text1"/>
                <w:szCs w:val="21"/>
                <w:lang w:val="en-US"/>
                <w14:textFill>
                  <w14:solidFill>
                    <w14:schemeClr w14:val="tx1"/>
                  </w14:solidFill>
                </w14:textFill>
              </w:rPr>
            </w:pPr>
            <w:r>
              <w:rPr>
                <w:rFonts w:hint="eastAsia" w:ascii="宋体" w:hAnsi="宋体" w:eastAsia="宋体" w:cs="宋体"/>
                <w:i w:val="0"/>
                <w:color w:val="000000"/>
                <w:kern w:val="0"/>
                <w:sz w:val="22"/>
                <w:szCs w:val="22"/>
                <w:u w:val="none"/>
                <w:lang w:val="en-US" w:eastAsia="zh-CN" w:bidi="ar"/>
              </w:rPr>
              <w:t>中共中央党校（国家行政学院）经济学部副教授、博士后周跃辉</w:t>
            </w:r>
            <w:r>
              <w:rPr>
                <w:rFonts w:hint="eastAsia" w:ascii="宋体" w:hAnsi="宋体" w:cs="宋体"/>
                <w:i w:val="0"/>
                <w:color w:val="000000"/>
                <w:kern w:val="0"/>
                <w:sz w:val="22"/>
                <w:szCs w:val="22"/>
                <w:u w:val="none"/>
                <w:lang w:val="en-US" w:eastAsia="zh-CN" w:bidi="ar"/>
              </w:rPr>
              <w:t>主讲。</w:t>
            </w:r>
          </w:p>
          <w:p>
            <w:pPr>
              <w:spacing w:line="240" w:lineRule="auto"/>
              <w:rPr>
                <w:rFonts w:cs="Arial"/>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课程内容：</w:t>
            </w:r>
            <w:r>
              <w:rPr>
                <w:rFonts w:hint="eastAsia" w:ascii="宋体" w:hAnsi="宋体" w:cs="宋体"/>
                <w:color w:val="000000"/>
                <w:kern w:val="0"/>
                <w:szCs w:val="21"/>
              </w:rPr>
              <w:t>解读党的十九大报告2035年远景目标、党中央制定2035年远景目标的历史脉络、十九届五中全会关于2035年远景目标的具体要求。</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default" w:eastAsia="宋体"/>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2</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bCs/>
                <w:color w:val="000000" w:themeColor="text1"/>
                <w:szCs w:val="21"/>
                <w14:textFill>
                  <w14:solidFill>
                    <w14:schemeClr w14:val="tx1"/>
                  </w14:solidFill>
                </w14:textFill>
              </w:rPr>
            </w:pPr>
          </w:p>
        </w:tc>
      </w:tr>
      <w:tr>
        <w:tblPrEx>
          <w:tblLayout w:type="fixed"/>
          <w:tblCellMar>
            <w:top w:w="0" w:type="dxa"/>
            <w:left w:w="108" w:type="dxa"/>
            <w:bottom w:w="0" w:type="dxa"/>
            <w:right w:w="108" w:type="dxa"/>
          </w:tblCellMar>
        </w:tblPrEx>
        <w:trPr>
          <w:trHeight w:val="989"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eastAsia="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15</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习近平法治语录 全面依法治国是中国近代实践的结果</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hint="eastAsia" w:eastAsia="宋体"/>
                <w:bCs/>
                <w:color w:val="000000" w:themeColor="text1"/>
                <w:szCs w:val="21"/>
                <w:lang w:val="en-US" w:eastAsia="zh-CN"/>
                <w14:textFill>
                  <w14:solidFill>
                    <w14:schemeClr w14:val="tx1"/>
                  </w14:solidFill>
                </w14:textFill>
              </w:rPr>
            </w:pPr>
            <w:r>
              <w:rPr>
                <w:rFonts w:hint="eastAsia" w:ascii="宋体" w:hAnsi="宋体" w:cs="宋体"/>
                <w:color w:val="000000"/>
                <w:kern w:val="0"/>
                <w:szCs w:val="21"/>
              </w:rPr>
              <w:t>中共中央党校（国家行政学院）政法教研部讲师张学博</w:t>
            </w:r>
            <w:r>
              <w:rPr>
                <w:rFonts w:hint="eastAsia" w:ascii="宋体" w:hAnsi="宋体" w:cs="宋体"/>
                <w:color w:val="000000"/>
                <w:kern w:val="0"/>
                <w:szCs w:val="21"/>
                <w:lang w:val="en-US" w:eastAsia="zh-CN"/>
              </w:rPr>
              <w:t>主讲。</w:t>
            </w:r>
          </w:p>
          <w:p>
            <w:pPr>
              <w:spacing w:line="240" w:lineRule="auto"/>
              <w:rPr>
                <w:rFonts w:cs="Arial"/>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课程内容：</w:t>
            </w:r>
            <w:r>
              <w:rPr>
                <w:rFonts w:hint="eastAsia"/>
                <w:bCs/>
                <w:color w:val="000000" w:themeColor="text1"/>
                <w:szCs w:val="21"/>
                <w:lang w:val="en-US" w:eastAsia="zh-CN"/>
                <w14:textFill>
                  <w14:solidFill>
                    <w14:schemeClr w14:val="tx1"/>
                  </w14:solidFill>
                </w14:textFill>
              </w:rPr>
              <w:t>本课程详细介绍了</w:t>
            </w:r>
            <w:r>
              <w:rPr>
                <w:rFonts w:hint="eastAsia" w:ascii="宋体" w:hAnsi="宋体" w:cs="宋体"/>
                <w:color w:val="000000"/>
                <w:kern w:val="0"/>
                <w:szCs w:val="21"/>
              </w:rPr>
              <w:t>全面推进依法治国是中国近代实践的结果</w:t>
            </w:r>
            <w:r>
              <w:rPr>
                <w:rFonts w:hint="eastAsia" w:ascii="宋体" w:hAnsi="宋体" w:cs="宋体"/>
                <w:color w:val="000000"/>
                <w:kern w:val="0"/>
                <w:szCs w:val="21"/>
                <w:lang w:eastAsia="zh-CN"/>
              </w:rPr>
              <w:t>。</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0.5</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bCs/>
                <w:color w:val="000000" w:themeColor="text1"/>
                <w:szCs w:val="21"/>
                <w14:textFill>
                  <w14:solidFill>
                    <w14:schemeClr w14:val="tx1"/>
                  </w14:solidFill>
                </w14:textFill>
              </w:rPr>
            </w:pPr>
            <w:r>
              <w:rPr>
                <w:rFonts w:hint="eastAsia"/>
                <w:bCs/>
                <w:color w:val="000000" w:themeColor="text1"/>
                <w:szCs w:val="21"/>
                <w:lang w:eastAsia="zh-CN"/>
                <w14:textFill>
                  <w14:solidFill>
                    <w14:schemeClr w14:val="tx1"/>
                  </w14:solidFill>
                </w14:textFill>
              </w:rPr>
              <w:t>微课程</w:t>
            </w:r>
          </w:p>
        </w:tc>
      </w:tr>
      <w:tr>
        <w:tblPrEx>
          <w:tblLayout w:type="fixed"/>
          <w:tblCellMar>
            <w:top w:w="0" w:type="dxa"/>
            <w:left w:w="108" w:type="dxa"/>
            <w:bottom w:w="0" w:type="dxa"/>
            <w:right w:w="108" w:type="dxa"/>
          </w:tblCellMar>
        </w:tblPrEx>
        <w:trPr>
          <w:trHeight w:val="1259"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eastAsia="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16</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习近平法治语录 全面依法治国是中国历史经验的总结</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hint="eastAsia" w:eastAsia="宋体"/>
                <w:bCs/>
                <w:color w:val="000000" w:themeColor="text1"/>
                <w:szCs w:val="21"/>
                <w:lang w:val="en-US" w:eastAsia="zh-CN"/>
                <w14:textFill>
                  <w14:solidFill>
                    <w14:schemeClr w14:val="tx1"/>
                  </w14:solidFill>
                </w14:textFill>
              </w:rPr>
            </w:pPr>
            <w:r>
              <w:rPr>
                <w:rFonts w:hint="eastAsia" w:ascii="宋体" w:hAnsi="宋体" w:cs="宋体"/>
                <w:color w:val="000000"/>
                <w:kern w:val="0"/>
                <w:szCs w:val="21"/>
              </w:rPr>
              <w:t>中共中央党校（国家行政学院）政法教研部讲师张学博</w:t>
            </w:r>
            <w:r>
              <w:rPr>
                <w:rFonts w:hint="eastAsia" w:ascii="宋体" w:hAnsi="宋体" w:cs="宋体"/>
                <w:color w:val="000000"/>
                <w:kern w:val="0"/>
                <w:szCs w:val="21"/>
                <w:lang w:val="en-US" w:eastAsia="zh-CN"/>
              </w:rPr>
              <w:t>主讲。</w:t>
            </w:r>
          </w:p>
          <w:p>
            <w:pPr>
              <w:spacing w:line="240" w:lineRule="auto"/>
              <w:rPr>
                <w:rFonts w:cs="Arial"/>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课程内容：</w:t>
            </w:r>
            <w:r>
              <w:rPr>
                <w:rFonts w:hint="eastAsia"/>
                <w:bCs/>
                <w:color w:val="000000" w:themeColor="text1"/>
                <w:szCs w:val="21"/>
                <w:lang w:val="en-US" w:eastAsia="zh-CN"/>
                <w14:textFill>
                  <w14:solidFill>
                    <w14:schemeClr w14:val="tx1"/>
                  </w14:solidFill>
                </w14:textFill>
              </w:rPr>
              <w:t>本课程详细介绍了</w:t>
            </w:r>
            <w:r>
              <w:rPr>
                <w:rFonts w:hint="eastAsia" w:ascii="宋体" w:hAnsi="宋体" w:cs="宋体"/>
                <w:color w:val="000000"/>
                <w:kern w:val="0"/>
                <w:szCs w:val="21"/>
              </w:rPr>
              <w:t>全面依法治国是中国历史经验的总结</w:t>
            </w:r>
            <w:r>
              <w:rPr>
                <w:rFonts w:hint="eastAsia" w:ascii="宋体" w:hAnsi="宋体" w:cs="宋体"/>
                <w:color w:val="000000"/>
                <w:kern w:val="0"/>
                <w:szCs w:val="21"/>
                <w:lang w:eastAsia="zh-CN"/>
              </w:rPr>
              <w:t>。</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eastAsia="宋体"/>
                <w:bCs/>
                <w:color w:val="000000" w:themeColor="text1"/>
                <w:szCs w:val="21"/>
                <w:lang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0.5</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bCs/>
                <w:color w:val="000000" w:themeColor="text1"/>
                <w:szCs w:val="21"/>
                <w14:textFill>
                  <w14:solidFill>
                    <w14:schemeClr w14:val="tx1"/>
                  </w14:solidFill>
                </w14:textFill>
              </w:rPr>
            </w:pPr>
            <w:r>
              <w:rPr>
                <w:rFonts w:hint="eastAsia"/>
                <w:bCs/>
                <w:color w:val="000000" w:themeColor="text1"/>
                <w:szCs w:val="21"/>
                <w:lang w:eastAsia="zh-CN"/>
                <w14:textFill>
                  <w14:solidFill>
                    <w14:schemeClr w14:val="tx1"/>
                  </w14:solidFill>
                </w14:textFill>
              </w:rPr>
              <w:t>微课程</w:t>
            </w:r>
          </w:p>
        </w:tc>
      </w:tr>
      <w:tr>
        <w:tblPrEx>
          <w:tblLayout w:type="fixed"/>
          <w:tblCellMar>
            <w:top w:w="0" w:type="dxa"/>
            <w:left w:w="108" w:type="dxa"/>
            <w:bottom w:w="0" w:type="dxa"/>
            <w:right w:w="108" w:type="dxa"/>
          </w:tblCellMar>
        </w:tblPrEx>
        <w:trPr>
          <w:trHeight w:val="1238"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eastAsia="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17</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习近平法治语录 全面依法治国是人类历史经验的总结</w:t>
            </w:r>
          </w:p>
        </w:tc>
        <w:tc>
          <w:tcPr>
            <w:tcW w:w="8788"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hint="eastAsia" w:eastAsia="宋体"/>
                <w:bCs/>
                <w:color w:val="000000" w:themeColor="text1"/>
                <w:szCs w:val="21"/>
                <w:lang w:val="en-US" w:eastAsia="zh-CN"/>
                <w14:textFill>
                  <w14:solidFill>
                    <w14:schemeClr w14:val="tx1"/>
                  </w14:solidFill>
                </w14:textFill>
              </w:rPr>
            </w:pPr>
            <w:r>
              <w:rPr>
                <w:rFonts w:hint="eastAsia" w:ascii="宋体" w:hAnsi="宋体" w:cs="宋体"/>
                <w:color w:val="000000"/>
                <w:kern w:val="0"/>
                <w:szCs w:val="21"/>
              </w:rPr>
              <w:t>中共中央党校（国家行政学院）政法教研部讲师张学博</w:t>
            </w:r>
            <w:r>
              <w:rPr>
                <w:rFonts w:hint="eastAsia" w:ascii="宋体" w:hAnsi="宋体" w:cs="宋体"/>
                <w:color w:val="000000"/>
                <w:kern w:val="0"/>
                <w:szCs w:val="21"/>
                <w:lang w:val="en-US" w:eastAsia="zh-CN"/>
              </w:rPr>
              <w:t>主讲。</w:t>
            </w:r>
          </w:p>
          <w:p>
            <w:pPr>
              <w:spacing w:line="240" w:lineRule="auto"/>
              <w:rPr>
                <w:rFonts w:cs="Arial"/>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课程内容：</w:t>
            </w:r>
            <w:r>
              <w:rPr>
                <w:rFonts w:hint="eastAsia"/>
                <w:bCs/>
                <w:color w:val="000000" w:themeColor="text1"/>
                <w:szCs w:val="21"/>
                <w:lang w:val="en-US" w:eastAsia="zh-CN"/>
                <w14:textFill>
                  <w14:solidFill>
                    <w14:schemeClr w14:val="tx1"/>
                  </w14:solidFill>
                </w14:textFill>
              </w:rPr>
              <w:t>本课程详细介绍了</w:t>
            </w:r>
            <w:r>
              <w:rPr>
                <w:rFonts w:hint="eastAsia" w:ascii="宋体" w:hAnsi="宋体" w:cs="宋体"/>
                <w:color w:val="000000"/>
                <w:kern w:val="0"/>
                <w:szCs w:val="21"/>
              </w:rPr>
              <w:t>全面依法治国是人类历史经验的总结</w:t>
            </w:r>
            <w:r>
              <w:rPr>
                <w:rFonts w:hint="eastAsia" w:ascii="宋体" w:hAnsi="宋体" w:cs="宋体"/>
                <w:color w:val="000000"/>
                <w:kern w:val="0"/>
                <w:szCs w:val="21"/>
                <w:lang w:eastAsia="zh-CN"/>
              </w:rPr>
              <w:t>。</w:t>
            </w:r>
          </w:p>
        </w:tc>
        <w:tc>
          <w:tcPr>
            <w:tcW w:w="1100"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0.5</w:t>
            </w:r>
          </w:p>
        </w:tc>
        <w:tc>
          <w:tcPr>
            <w:tcW w:w="984"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bCs/>
                <w:color w:val="000000" w:themeColor="text1"/>
                <w:szCs w:val="21"/>
                <w14:textFill>
                  <w14:solidFill>
                    <w14:schemeClr w14:val="tx1"/>
                  </w14:solidFill>
                </w14:textFill>
              </w:rPr>
            </w:pPr>
            <w:r>
              <w:rPr>
                <w:rFonts w:hint="eastAsia"/>
                <w:bCs/>
                <w:color w:val="000000" w:themeColor="text1"/>
                <w:szCs w:val="21"/>
                <w:lang w:eastAsia="zh-CN"/>
                <w14:textFill>
                  <w14:solidFill>
                    <w14:schemeClr w14:val="tx1"/>
                  </w14:solidFill>
                </w14:textFill>
              </w:rPr>
              <w:t>微课程</w:t>
            </w:r>
          </w:p>
        </w:tc>
      </w:tr>
      <w:tr>
        <w:tblPrEx>
          <w:tblLayout w:type="fixed"/>
          <w:tblCellMar>
            <w:top w:w="0" w:type="dxa"/>
            <w:left w:w="108" w:type="dxa"/>
            <w:bottom w:w="0" w:type="dxa"/>
            <w:right w:w="108" w:type="dxa"/>
          </w:tblCellMar>
        </w:tblPrEx>
        <w:trPr>
          <w:trHeight w:val="1191"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eastAsia="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18</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习近平法治语录 党法一体是中国特色社会主义法治理论的核心</w:t>
            </w:r>
          </w:p>
        </w:tc>
        <w:tc>
          <w:tcPr>
            <w:tcW w:w="8788"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hint="eastAsia" w:eastAsia="宋体"/>
                <w:bCs/>
                <w:color w:val="000000" w:themeColor="text1"/>
                <w:szCs w:val="21"/>
                <w:lang w:val="en-US" w:eastAsia="zh-CN"/>
                <w14:textFill>
                  <w14:solidFill>
                    <w14:schemeClr w14:val="tx1"/>
                  </w14:solidFill>
                </w14:textFill>
              </w:rPr>
            </w:pPr>
            <w:r>
              <w:rPr>
                <w:rFonts w:hint="eastAsia" w:ascii="宋体" w:hAnsi="宋体" w:cs="宋体"/>
                <w:color w:val="000000"/>
                <w:kern w:val="0"/>
                <w:szCs w:val="21"/>
              </w:rPr>
              <w:t>中共中央党校（国家行政学院）政法教研部讲师张学博</w:t>
            </w:r>
            <w:r>
              <w:rPr>
                <w:rFonts w:hint="eastAsia" w:ascii="宋体" w:hAnsi="宋体" w:cs="宋体"/>
                <w:color w:val="000000"/>
                <w:kern w:val="0"/>
                <w:szCs w:val="21"/>
                <w:lang w:val="en-US" w:eastAsia="zh-CN"/>
              </w:rPr>
              <w:t>主讲。</w:t>
            </w:r>
          </w:p>
          <w:p>
            <w:pPr>
              <w:spacing w:line="240" w:lineRule="auto"/>
              <w:rPr>
                <w:rFonts w:cs="Arial"/>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课程内容：</w:t>
            </w:r>
            <w:r>
              <w:rPr>
                <w:rFonts w:hint="eastAsia"/>
                <w:bCs/>
                <w:color w:val="000000" w:themeColor="text1"/>
                <w:szCs w:val="21"/>
                <w:lang w:val="en-US" w:eastAsia="zh-CN"/>
                <w14:textFill>
                  <w14:solidFill>
                    <w14:schemeClr w14:val="tx1"/>
                  </w14:solidFill>
                </w14:textFill>
              </w:rPr>
              <w:t>本课程详细介绍了</w:t>
            </w:r>
            <w:r>
              <w:rPr>
                <w:rFonts w:hint="eastAsia" w:ascii="宋体" w:hAnsi="宋体" w:cs="宋体"/>
                <w:color w:val="000000"/>
                <w:kern w:val="0"/>
                <w:szCs w:val="21"/>
              </w:rPr>
              <w:t>党法一体是中国特色社会主义法治理论的核心</w:t>
            </w:r>
            <w:r>
              <w:rPr>
                <w:rFonts w:hint="eastAsia" w:ascii="宋体" w:hAnsi="宋体" w:cs="宋体"/>
                <w:color w:val="000000"/>
                <w:kern w:val="0"/>
                <w:szCs w:val="21"/>
                <w:lang w:eastAsia="zh-CN"/>
              </w:rPr>
              <w:t>。</w:t>
            </w:r>
          </w:p>
        </w:tc>
        <w:tc>
          <w:tcPr>
            <w:tcW w:w="1100"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0.5</w:t>
            </w:r>
          </w:p>
        </w:tc>
        <w:tc>
          <w:tcPr>
            <w:tcW w:w="984"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bCs/>
                <w:color w:val="000000" w:themeColor="text1"/>
                <w:szCs w:val="21"/>
                <w14:textFill>
                  <w14:solidFill>
                    <w14:schemeClr w14:val="tx1"/>
                  </w14:solidFill>
                </w14:textFill>
              </w:rPr>
            </w:pPr>
            <w:r>
              <w:rPr>
                <w:rFonts w:hint="eastAsia"/>
                <w:bCs/>
                <w:color w:val="000000" w:themeColor="text1"/>
                <w:szCs w:val="21"/>
                <w:lang w:eastAsia="zh-CN"/>
                <w14:textFill>
                  <w14:solidFill>
                    <w14:schemeClr w14:val="tx1"/>
                  </w14:solidFill>
                </w14:textFill>
              </w:rPr>
              <w:t>微课程</w:t>
            </w:r>
          </w:p>
        </w:tc>
      </w:tr>
      <w:tr>
        <w:tblPrEx>
          <w:tblLayout w:type="fixed"/>
          <w:tblCellMar>
            <w:top w:w="0" w:type="dxa"/>
            <w:left w:w="108" w:type="dxa"/>
            <w:bottom w:w="0" w:type="dxa"/>
            <w:right w:w="108" w:type="dxa"/>
          </w:tblCellMar>
        </w:tblPrEx>
        <w:trPr>
          <w:trHeight w:val="1112"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eastAsia="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19</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习近平法治语录 德法合一是中国特色社会主义法治理论的本质</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hint="eastAsia" w:eastAsia="宋体"/>
                <w:bCs/>
                <w:color w:val="000000" w:themeColor="text1"/>
                <w:szCs w:val="21"/>
                <w:lang w:val="en-US" w:eastAsia="zh-CN"/>
                <w14:textFill>
                  <w14:solidFill>
                    <w14:schemeClr w14:val="tx1"/>
                  </w14:solidFill>
                </w14:textFill>
              </w:rPr>
            </w:pPr>
            <w:r>
              <w:rPr>
                <w:rFonts w:hint="eastAsia" w:ascii="宋体" w:hAnsi="宋体" w:cs="宋体"/>
                <w:color w:val="000000"/>
                <w:kern w:val="0"/>
                <w:szCs w:val="21"/>
              </w:rPr>
              <w:t>中共中央党校（国家行政学院）政法教研部讲师张学博</w:t>
            </w:r>
            <w:r>
              <w:rPr>
                <w:rFonts w:hint="eastAsia" w:ascii="宋体" w:hAnsi="宋体" w:cs="宋体"/>
                <w:color w:val="000000"/>
                <w:kern w:val="0"/>
                <w:szCs w:val="21"/>
                <w:lang w:val="en-US" w:eastAsia="zh-CN"/>
              </w:rPr>
              <w:t>主讲。</w:t>
            </w:r>
          </w:p>
          <w:p>
            <w:pPr>
              <w:spacing w:line="240" w:lineRule="auto"/>
              <w:rPr>
                <w:rFonts w:cs="Arial"/>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课程内容：</w:t>
            </w:r>
            <w:r>
              <w:rPr>
                <w:rFonts w:hint="eastAsia"/>
                <w:bCs/>
                <w:color w:val="000000" w:themeColor="text1"/>
                <w:szCs w:val="21"/>
                <w:lang w:val="en-US" w:eastAsia="zh-CN"/>
                <w14:textFill>
                  <w14:solidFill>
                    <w14:schemeClr w14:val="tx1"/>
                  </w14:solidFill>
                </w14:textFill>
              </w:rPr>
              <w:t>本课程详细介绍了</w:t>
            </w:r>
            <w:r>
              <w:rPr>
                <w:rFonts w:hint="eastAsia" w:ascii="宋体" w:hAnsi="宋体" w:cs="宋体"/>
                <w:color w:val="000000"/>
                <w:kern w:val="0"/>
                <w:szCs w:val="21"/>
              </w:rPr>
              <w:t>德法合一是中国特色社会主义法治理论的本质</w:t>
            </w:r>
            <w:r>
              <w:rPr>
                <w:rFonts w:hint="eastAsia" w:ascii="宋体" w:hAnsi="宋体" w:cs="宋体"/>
                <w:color w:val="000000"/>
                <w:kern w:val="0"/>
                <w:szCs w:val="21"/>
                <w:lang w:eastAsia="zh-CN"/>
              </w:rPr>
              <w:t>。</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0.5</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bCs/>
                <w:color w:val="000000" w:themeColor="text1"/>
                <w:szCs w:val="21"/>
                <w14:textFill>
                  <w14:solidFill>
                    <w14:schemeClr w14:val="tx1"/>
                  </w14:solidFill>
                </w14:textFill>
              </w:rPr>
            </w:pPr>
            <w:r>
              <w:rPr>
                <w:rFonts w:hint="eastAsia"/>
                <w:bCs/>
                <w:color w:val="000000" w:themeColor="text1"/>
                <w:szCs w:val="21"/>
                <w:lang w:eastAsia="zh-CN"/>
                <w14:textFill>
                  <w14:solidFill>
                    <w14:schemeClr w14:val="tx1"/>
                  </w14:solidFill>
                </w14:textFill>
              </w:rPr>
              <w:t>微课程</w:t>
            </w:r>
          </w:p>
        </w:tc>
      </w:tr>
      <w:tr>
        <w:tblPrEx>
          <w:tblLayout w:type="fixed"/>
          <w:tblCellMar>
            <w:top w:w="0" w:type="dxa"/>
            <w:left w:w="108" w:type="dxa"/>
            <w:bottom w:w="0" w:type="dxa"/>
            <w:right w:w="108" w:type="dxa"/>
          </w:tblCellMar>
        </w:tblPrEx>
        <w:trPr>
          <w:trHeight w:val="1082"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eastAsia="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20</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习近平法治语录 破立统一是中国特色社会主义法治理论的难题</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hint="eastAsia" w:eastAsia="宋体"/>
                <w:bCs/>
                <w:color w:val="000000" w:themeColor="text1"/>
                <w:szCs w:val="21"/>
                <w:lang w:val="en-US" w:eastAsia="zh-CN"/>
                <w14:textFill>
                  <w14:solidFill>
                    <w14:schemeClr w14:val="tx1"/>
                  </w14:solidFill>
                </w14:textFill>
              </w:rPr>
            </w:pPr>
            <w:r>
              <w:rPr>
                <w:rFonts w:hint="eastAsia" w:ascii="宋体" w:hAnsi="宋体" w:cs="宋体"/>
                <w:color w:val="000000"/>
                <w:kern w:val="0"/>
                <w:szCs w:val="21"/>
              </w:rPr>
              <w:t>中共中央党校（国家行政学院）政法教研部讲师张学博</w:t>
            </w:r>
            <w:r>
              <w:rPr>
                <w:rFonts w:hint="eastAsia" w:ascii="宋体" w:hAnsi="宋体" w:cs="宋体"/>
                <w:color w:val="000000"/>
                <w:kern w:val="0"/>
                <w:szCs w:val="21"/>
                <w:lang w:val="en-US" w:eastAsia="zh-CN"/>
              </w:rPr>
              <w:t>主讲。</w:t>
            </w:r>
          </w:p>
          <w:p>
            <w:pPr>
              <w:spacing w:line="240" w:lineRule="auto"/>
              <w:rPr>
                <w:rFonts w:cs="Arial"/>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课程内容：</w:t>
            </w:r>
            <w:r>
              <w:rPr>
                <w:rFonts w:hint="eastAsia"/>
                <w:bCs/>
                <w:color w:val="000000" w:themeColor="text1"/>
                <w:szCs w:val="21"/>
                <w:lang w:val="en-US" w:eastAsia="zh-CN"/>
                <w14:textFill>
                  <w14:solidFill>
                    <w14:schemeClr w14:val="tx1"/>
                  </w14:solidFill>
                </w14:textFill>
              </w:rPr>
              <w:t>本课程详细介绍了</w:t>
            </w:r>
            <w:r>
              <w:rPr>
                <w:rFonts w:hint="eastAsia" w:ascii="宋体" w:hAnsi="宋体" w:cs="宋体"/>
                <w:color w:val="000000"/>
                <w:kern w:val="0"/>
                <w:szCs w:val="21"/>
              </w:rPr>
              <w:t>破立统一是中国特色社会主义法治理论的难题</w:t>
            </w:r>
            <w:r>
              <w:rPr>
                <w:rFonts w:hint="eastAsia" w:ascii="宋体" w:hAnsi="宋体" w:cs="宋体"/>
                <w:color w:val="000000"/>
                <w:kern w:val="0"/>
                <w:szCs w:val="21"/>
                <w:lang w:eastAsia="zh-CN"/>
              </w:rPr>
              <w:t>。</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0.5</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bCs/>
                <w:color w:val="000000" w:themeColor="text1"/>
                <w:szCs w:val="21"/>
                <w14:textFill>
                  <w14:solidFill>
                    <w14:schemeClr w14:val="tx1"/>
                  </w14:solidFill>
                </w14:textFill>
              </w:rPr>
            </w:pPr>
            <w:r>
              <w:rPr>
                <w:rFonts w:hint="eastAsia"/>
                <w:bCs/>
                <w:color w:val="000000" w:themeColor="text1"/>
                <w:szCs w:val="21"/>
                <w:lang w:eastAsia="zh-CN"/>
                <w14:textFill>
                  <w14:solidFill>
                    <w14:schemeClr w14:val="tx1"/>
                  </w14:solidFill>
                </w14:textFill>
              </w:rPr>
              <w:t>微课程</w:t>
            </w:r>
          </w:p>
        </w:tc>
      </w:tr>
      <w:tr>
        <w:tblPrEx>
          <w:tblLayout w:type="fixed"/>
          <w:tblCellMar>
            <w:top w:w="0" w:type="dxa"/>
            <w:left w:w="108" w:type="dxa"/>
            <w:bottom w:w="0" w:type="dxa"/>
            <w:right w:w="108" w:type="dxa"/>
          </w:tblCellMar>
        </w:tblPrEx>
        <w:trPr>
          <w:trHeight w:val="1077"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eastAsia="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21</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习近平法治语录 建立完备的法律规范体系</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hint="eastAsia" w:eastAsia="宋体"/>
                <w:bCs/>
                <w:color w:val="000000" w:themeColor="text1"/>
                <w:szCs w:val="21"/>
                <w:lang w:val="en-US" w:eastAsia="zh-CN"/>
                <w14:textFill>
                  <w14:solidFill>
                    <w14:schemeClr w14:val="tx1"/>
                  </w14:solidFill>
                </w14:textFill>
              </w:rPr>
            </w:pPr>
            <w:r>
              <w:rPr>
                <w:rFonts w:hint="eastAsia" w:ascii="宋体" w:hAnsi="宋体" w:cs="宋体"/>
                <w:color w:val="000000"/>
                <w:kern w:val="0"/>
                <w:szCs w:val="21"/>
              </w:rPr>
              <w:t>中共中央党校（国家行政学院）政法教研部讲师张学博</w:t>
            </w:r>
            <w:r>
              <w:rPr>
                <w:rFonts w:hint="eastAsia" w:ascii="宋体" w:hAnsi="宋体" w:cs="宋体"/>
                <w:color w:val="000000"/>
                <w:kern w:val="0"/>
                <w:szCs w:val="21"/>
                <w:lang w:val="en-US" w:eastAsia="zh-CN"/>
              </w:rPr>
              <w:t>主讲。</w:t>
            </w:r>
          </w:p>
          <w:p>
            <w:pPr>
              <w:spacing w:line="240" w:lineRule="auto"/>
              <w:rPr>
                <w:rFonts w:cs="Arial"/>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课程内容：</w:t>
            </w:r>
            <w:r>
              <w:rPr>
                <w:rFonts w:hint="eastAsia"/>
                <w:bCs/>
                <w:color w:val="000000" w:themeColor="text1"/>
                <w:szCs w:val="21"/>
                <w:lang w:val="en-US" w:eastAsia="zh-CN"/>
                <w14:textFill>
                  <w14:solidFill>
                    <w14:schemeClr w14:val="tx1"/>
                  </w14:solidFill>
                </w14:textFill>
              </w:rPr>
              <w:t>本课程详细介绍了如何</w:t>
            </w:r>
            <w:r>
              <w:rPr>
                <w:rFonts w:hint="eastAsia" w:ascii="宋体" w:hAnsi="宋体" w:cs="宋体"/>
                <w:color w:val="000000"/>
                <w:kern w:val="0"/>
                <w:szCs w:val="21"/>
              </w:rPr>
              <w:t>建立完备的法律规范体系</w:t>
            </w:r>
            <w:r>
              <w:rPr>
                <w:rFonts w:hint="eastAsia" w:ascii="宋体" w:hAnsi="宋体" w:cs="宋体"/>
                <w:color w:val="000000"/>
                <w:kern w:val="0"/>
                <w:szCs w:val="21"/>
                <w:lang w:eastAsia="zh-CN"/>
              </w:rPr>
              <w:t>。</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0.5</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bCs/>
                <w:color w:val="000000" w:themeColor="text1"/>
                <w:szCs w:val="21"/>
                <w14:textFill>
                  <w14:solidFill>
                    <w14:schemeClr w14:val="tx1"/>
                  </w14:solidFill>
                </w14:textFill>
              </w:rPr>
            </w:pPr>
            <w:r>
              <w:rPr>
                <w:rFonts w:hint="eastAsia"/>
                <w:bCs/>
                <w:color w:val="000000" w:themeColor="text1"/>
                <w:szCs w:val="21"/>
                <w:lang w:eastAsia="zh-CN"/>
                <w14:textFill>
                  <w14:solidFill>
                    <w14:schemeClr w14:val="tx1"/>
                  </w14:solidFill>
                </w14:textFill>
              </w:rPr>
              <w:t>微课程</w:t>
            </w:r>
          </w:p>
        </w:tc>
      </w:tr>
      <w:tr>
        <w:tblPrEx>
          <w:tblLayout w:type="fixed"/>
          <w:tblCellMar>
            <w:top w:w="0" w:type="dxa"/>
            <w:left w:w="108" w:type="dxa"/>
            <w:bottom w:w="0" w:type="dxa"/>
            <w:right w:w="108" w:type="dxa"/>
          </w:tblCellMar>
        </w:tblPrEx>
        <w:trPr>
          <w:trHeight w:val="1059"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eastAsia="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22</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习近平法治语录 建立高效的法治实施体系</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hint="eastAsia" w:eastAsia="宋体"/>
                <w:bCs/>
                <w:color w:val="000000" w:themeColor="text1"/>
                <w:szCs w:val="21"/>
                <w:lang w:val="en-US" w:eastAsia="zh-CN"/>
                <w14:textFill>
                  <w14:solidFill>
                    <w14:schemeClr w14:val="tx1"/>
                  </w14:solidFill>
                </w14:textFill>
              </w:rPr>
            </w:pPr>
            <w:r>
              <w:rPr>
                <w:rFonts w:hint="eastAsia" w:ascii="宋体" w:hAnsi="宋体" w:cs="宋体"/>
                <w:color w:val="000000"/>
                <w:kern w:val="0"/>
                <w:szCs w:val="21"/>
              </w:rPr>
              <w:t>中共中央党校（国家行政学院）政法教研部讲师张学博</w:t>
            </w:r>
            <w:r>
              <w:rPr>
                <w:rFonts w:hint="eastAsia" w:ascii="宋体" w:hAnsi="宋体" w:cs="宋体"/>
                <w:color w:val="000000"/>
                <w:kern w:val="0"/>
                <w:szCs w:val="21"/>
                <w:lang w:val="en-US" w:eastAsia="zh-CN"/>
              </w:rPr>
              <w:t>主讲。</w:t>
            </w:r>
          </w:p>
          <w:p>
            <w:pPr>
              <w:spacing w:line="240" w:lineRule="auto"/>
              <w:rPr>
                <w:rFonts w:cs="Arial"/>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课程内容：</w:t>
            </w:r>
            <w:r>
              <w:rPr>
                <w:rFonts w:hint="eastAsia"/>
                <w:bCs/>
                <w:color w:val="000000" w:themeColor="text1"/>
                <w:szCs w:val="21"/>
                <w:lang w:val="en-US" w:eastAsia="zh-CN"/>
                <w14:textFill>
                  <w14:solidFill>
                    <w14:schemeClr w14:val="tx1"/>
                  </w14:solidFill>
                </w14:textFill>
              </w:rPr>
              <w:t>本课程详细介绍了如何</w:t>
            </w:r>
            <w:r>
              <w:rPr>
                <w:rFonts w:hint="eastAsia" w:ascii="宋体" w:hAnsi="宋体" w:cs="宋体"/>
                <w:color w:val="000000"/>
                <w:kern w:val="0"/>
                <w:szCs w:val="21"/>
              </w:rPr>
              <w:t>建立高效的法治实施体系</w:t>
            </w:r>
            <w:r>
              <w:rPr>
                <w:rFonts w:hint="eastAsia" w:ascii="宋体" w:hAnsi="宋体" w:cs="宋体"/>
                <w:color w:val="000000"/>
                <w:kern w:val="0"/>
                <w:szCs w:val="21"/>
                <w:lang w:eastAsia="zh-CN"/>
              </w:rPr>
              <w:t>。</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0.5</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bCs/>
                <w:color w:val="000000" w:themeColor="text1"/>
                <w:szCs w:val="21"/>
                <w14:textFill>
                  <w14:solidFill>
                    <w14:schemeClr w14:val="tx1"/>
                  </w14:solidFill>
                </w14:textFill>
              </w:rPr>
            </w:pPr>
            <w:r>
              <w:rPr>
                <w:rFonts w:hint="eastAsia"/>
                <w:bCs/>
                <w:color w:val="000000" w:themeColor="text1"/>
                <w:szCs w:val="21"/>
                <w:lang w:eastAsia="zh-CN"/>
                <w14:textFill>
                  <w14:solidFill>
                    <w14:schemeClr w14:val="tx1"/>
                  </w14:solidFill>
                </w14:textFill>
              </w:rPr>
              <w:t>微课程</w:t>
            </w:r>
          </w:p>
        </w:tc>
      </w:tr>
      <w:tr>
        <w:tblPrEx>
          <w:tblLayout w:type="fixed"/>
          <w:tblCellMar>
            <w:top w:w="0" w:type="dxa"/>
            <w:left w:w="108" w:type="dxa"/>
            <w:bottom w:w="0" w:type="dxa"/>
            <w:right w:w="108" w:type="dxa"/>
          </w:tblCellMar>
        </w:tblPrEx>
        <w:trPr>
          <w:trHeight w:val="1082"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eastAsia="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23</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习近平法治语录 建立严密的法治监督体系</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hint="eastAsia" w:eastAsia="宋体"/>
                <w:bCs/>
                <w:color w:val="000000" w:themeColor="text1"/>
                <w:szCs w:val="21"/>
                <w:lang w:val="en-US" w:eastAsia="zh-CN"/>
                <w14:textFill>
                  <w14:solidFill>
                    <w14:schemeClr w14:val="tx1"/>
                  </w14:solidFill>
                </w14:textFill>
              </w:rPr>
            </w:pPr>
            <w:r>
              <w:rPr>
                <w:rFonts w:hint="eastAsia" w:ascii="宋体" w:hAnsi="宋体" w:cs="宋体"/>
                <w:color w:val="000000"/>
                <w:kern w:val="0"/>
                <w:szCs w:val="21"/>
              </w:rPr>
              <w:t>中共中央党校（国家行政学院）政法教研部讲师张学博</w:t>
            </w:r>
            <w:r>
              <w:rPr>
                <w:rFonts w:hint="eastAsia" w:ascii="宋体" w:hAnsi="宋体" w:cs="宋体"/>
                <w:color w:val="000000"/>
                <w:kern w:val="0"/>
                <w:szCs w:val="21"/>
                <w:lang w:val="en-US" w:eastAsia="zh-CN"/>
              </w:rPr>
              <w:t>主讲。</w:t>
            </w:r>
          </w:p>
          <w:p>
            <w:pPr>
              <w:spacing w:line="240" w:lineRule="auto"/>
              <w:rPr>
                <w:rFonts w:cs="Arial"/>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课程内容：</w:t>
            </w:r>
            <w:r>
              <w:rPr>
                <w:rFonts w:hint="eastAsia"/>
                <w:bCs/>
                <w:color w:val="000000" w:themeColor="text1"/>
                <w:szCs w:val="21"/>
                <w:lang w:val="en-US" w:eastAsia="zh-CN"/>
                <w14:textFill>
                  <w14:solidFill>
                    <w14:schemeClr w14:val="tx1"/>
                  </w14:solidFill>
                </w14:textFill>
              </w:rPr>
              <w:t>本课程详细介绍了如何</w:t>
            </w:r>
            <w:r>
              <w:rPr>
                <w:rFonts w:hint="eastAsia" w:ascii="宋体" w:hAnsi="宋体" w:cs="宋体"/>
                <w:color w:val="000000"/>
                <w:kern w:val="0"/>
                <w:szCs w:val="21"/>
              </w:rPr>
              <w:t>建立严密的法治监督体系</w:t>
            </w:r>
            <w:r>
              <w:rPr>
                <w:rFonts w:hint="eastAsia" w:ascii="宋体" w:hAnsi="宋体" w:cs="宋体"/>
                <w:color w:val="000000"/>
                <w:kern w:val="0"/>
                <w:szCs w:val="21"/>
                <w:lang w:eastAsia="zh-CN"/>
              </w:rPr>
              <w:t>。</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0.5</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bCs/>
                <w:color w:val="000000" w:themeColor="text1"/>
                <w:szCs w:val="21"/>
                <w14:textFill>
                  <w14:solidFill>
                    <w14:schemeClr w14:val="tx1"/>
                  </w14:solidFill>
                </w14:textFill>
              </w:rPr>
            </w:pPr>
            <w:r>
              <w:rPr>
                <w:rFonts w:hint="eastAsia"/>
                <w:bCs/>
                <w:color w:val="000000" w:themeColor="text1"/>
                <w:szCs w:val="21"/>
                <w:lang w:eastAsia="zh-CN"/>
                <w14:textFill>
                  <w14:solidFill>
                    <w14:schemeClr w14:val="tx1"/>
                  </w14:solidFill>
                </w14:textFill>
              </w:rPr>
              <w:t>微课程</w:t>
            </w:r>
          </w:p>
        </w:tc>
      </w:tr>
      <w:tr>
        <w:tblPrEx>
          <w:tblLayout w:type="fixed"/>
          <w:tblCellMar>
            <w:top w:w="0" w:type="dxa"/>
            <w:left w:w="108" w:type="dxa"/>
            <w:bottom w:w="0" w:type="dxa"/>
            <w:right w:w="108" w:type="dxa"/>
          </w:tblCellMar>
        </w:tblPrEx>
        <w:trPr>
          <w:trHeight w:val="1279"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eastAsia="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24</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习近平法治语录 建立有利的法治保障体系</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hint="eastAsia" w:eastAsia="宋体"/>
                <w:bCs/>
                <w:color w:val="000000" w:themeColor="text1"/>
                <w:szCs w:val="21"/>
                <w:lang w:val="en-US" w:eastAsia="zh-CN"/>
                <w14:textFill>
                  <w14:solidFill>
                    <w14:schemeClr w14:val="tx1"/>
                  </w14:solidFill>
                </w14:textFill>
              </w:rPr>
            </w:pPr>
            <w:r>
              <w:rPr>
                <w:rFonts w:hint="eastAsia" w:ascii="宋体" w:hAnsi="宋体" w:cs="宋体"/>
                <w:color w:val="000000"/>
                <w:kern w:val="0"/>
                <w:szCs w:val="21"/>
              </w:rPr>
              <w:t>中共中央党校（国家行政学院）政法教研部讲师张学博</w:t>
            </w:r>
            <w:r>
              <w:rPr>
                <w:rFonts w:hint="eastAsia" w:ascii="宋体" w:hAnsi="宋体" w:cs="宋体"/>
                <w:color w:val="000000"/>
                <w:kern w:val="0"/>
                <w:szCs w:val="21"/>
                <w:lang w:val="en-US" w:eastAsia="zh-CN"/>
              </w:rPr>
              <w:t>主讲。</w:t>
            </w:r>
          </w:p>
          <w:p>
            <w:pPr>
              <w:spacing w:line="240" w:lineRule="auto"/>
              <w:rPr>
                <w:rFonts w:cs="Arial"/>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课程内容：</w:t>
            </w:r>
            <w:r>
              <w:rPr>
                <w:rFonts w:hint="eastAsia"/>
                <w:bCs/>
                <w:color w:val="000000" w:themeColor="text1"/>
                <w:szCs w:val="21"/>
                <w:lang w:val="en-US" w:eastAsia="zh-CN"/>
                <w14:textFill>
                  <w14:solidFill>
                    <w14:schemeClr w14:val="tx1"/>
                  </w14:solidFill>
                </w14:textFill>
              </w:rPr>
              <w:t>本课程详细介绍了如何</w:t>
            </w:r>
            <w:r>
              <w:rPr>
                <w:rFonts w:hint="eastAsia" w:ascii="宋体" w:hAnsi="宋体" w:cs="宋体"/>
                <w:color w:val="000000"/>
                <w:kern w:val="0"/>
                <w:szCs w:val="21"/>
              </w:rPr>
              <w:t>建立有利的法治保障体系</w:t>
            </w:r>
            <w:r>
              <w:rPr>
                <w:rFonts w:hint="eastAsia" w:ascii="宋体" w:hAnsi="宋体" w:cs="宋体"/>
                <w:color w:val="000000"/>
                <w:kern w:val="0"/>
                <w:szCs w:val="21"/>
                <w:lang w:eastAsia="zh-CN"/>
              </w:rPr>
              <w:t>。</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0.5</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bCs/>
                <w:color w:val="000000" w:themeColor="text1"/>
                <w:szCs w:val="21"/>
                <w14:textFill>
                  <w14:solidFill>
                    <w14:schemeClr w14:val="tx1"/>
                  </w14:solidFill>
                </w14:textFill>
              </w:rPr>
            </w:pPr>
            <w:r>
              <w:rPr>
                <w:rFonts w:hint="eastAsia"/>
                <w:bCs/>
                <w:color w:val="000000" w:themeColor="text1"/>
                <w:szCs w:val="21"/>
                <w:lang w:eastAsia="zh-CN"/>
                <w14:textFill>
                  <w14:solidFill>
                    <w14:schemeClr w14:val="tx1"/>
                  </w14:solidFill>
                </w14:textFill>
              </w:rPr>
              <w:t>微课程</w:t>
            </w:r>
          </w:p>
        </w:tc>
      </w:tr>
      <w:tr>
        <w:tblPrEx>
          <w:tblLayout w:type="fixed"/>
          <w:tblCellMar>
            <w:top w:w="0" w:type="dxa"/>
            <w:left w:w="108" w:type="dxa"/>
            <w:bottom w:w="0" w:type="dxa"/>
            <w:right w:w="108" w:type="dxa"/>
          </w:tblCellMar>
        </w:tblPrEx>
        <w:trPr>
          <w:trHeight w:val="992"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eastAsia="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25</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习近平法治语录 建立完善的党内法规体系</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hint="eastAsia" w:eastAsia="宋体"/>
                <w:bCs/>
                <w:color w:val="000000" w:themeColor="text1"/>
                <w:szCs w:val="21"/>
                <w:lang w:val="en-US" w:eastAsia="zh-CN"/>
                <w14:textFill>
                  <w14:solidFill>
                    <w14:schemeClr w14:val="tx1"/>
                  </w14:solidFill>
                </w14:textFill>
              </w:rPr>
            </w:pPr>
            <w:r>
              <w:rPr>
                <w:rFonts w:hint="eastAsia" w:ascii="宋体" w:hAnsi="宋体" w:cs="宋体"/>
                <w:color w:val="000000"/>
                <w:kern w:val="0"/>
                <w:szCs w:val="21"/>
              </w:rPr>
              <w:t>中共中央党校（国家行政学院）政法教研部讲师张学博</w:t>
            </w:r>
            <w:r>
              <w:rPr>
                <w:rFonts w:hint="eastAsia" w:ascii="宋体" w:hAnsi="宋体" w:cs="宋体"/>
                <w:color w:val="000000"/>
                <w:kern w:val="0"/>
                <w:szCs w:val="21"/>
                <w:lang w:val="en-US" w:eastAsia="zh-CN"/>
              </w:rPr>
              <w:t>主讲。</w:t>
            </w:r>
          </w:p>
          <w:p>
            <w:pPr>
              <w:spacing w:line="240" w:lineRule="auto"/>
              <w:rPr>
                <w:rFonts w:cs="Arial"/>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课程内容：</w:t>
            </w:r>
            <w:r>
              <w:rPr>
                <w:rFonts w:hint="eastAsia"/>
                <w:bCs/>
                <w:color w:val="000000" w:themeColor="text1"/>
                <w:szCs w:val="21"/>
                <w:lang w:val="en-US" w:eastAsia="zh-CN"/>
                <w14:textFill>
                  <w14:solidFill>
                    <w14:schemeClr w14:val="tx1"/>
                  </w14:solidFill>
                </w14:textFill>
              </w:rPr>
              <w:t>本课程详细介绍了如何</w:t>
            </w:r>
            <w:r>
              <w:rPr>
                <w:rFonts w:hint="eastAsia" w:ascii="宋体" w:hAnsi="宋体" w:cs="宋体"/>
                <w:color w:val="000000"/>
                <w:kern w:val="0"/>
                <w:szCs w:val="21"/>
              </w:rPr>
              <w:t>建立完善的党内法规体系</w:t>
            </w:r>
            <w:r>
              <w:rPr>
                <w:rFonts w:hint="eastAsia" w:ascii="宋体" w:hAnsi="宋体" w:cs="宋体"/>
                <w:color w:val="000000"/>
                <w:kern w:val="0"/>
                <w:szCs w:val="21"/>
                <w:lang w:eastAsia="zh-CN"/>
              </w:rPr>
              <w:t>。</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eastAsia="宋体"/>
                <w:bCs/>
                <w:color w:val="000000" w:themeColor="text1"/>
                <w:szCs w:val="21"/>
                <w:lang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0.5</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bCs/>
                <w:color w:val="000000" w:themeColor="text1"/>
                <w:szCs w:val="21"/>
                <w14:textFill>
                  <w14:solidFill>
                    <w14:schemeClr w14:val="tx1"/>
                  </w14:solidFill>
                </w14:textFill>
              </w:rPr>
            </w:pPr>
            <w:r>
              <w:rPr>
                <w:rFonts w:hint="eastAsia"/>
                <w:bCs/>
                <w:color w:val="000000" w:themeColor="text1"/>
                <w:szCs w:val="21"/>
                <w:lang w:eastAsia="zh-CN"/>
                <w14:textFill>
                  <w14:solidFill>
                    <w14:schemeClr w14:val="tx1"/>
                  </w14:solidFill>
                </w14:textFill>
              </w:rPr>
              <w:t>微课程</w:t>
            </w:r>
          </w:p>
        </w:tc>
      </w:tr>
      <w:tr>
        <w:tblPrEx>
          <w:tblLayout w:type="fixed"/>
          <w:tblCellMar>
            <w:top w:w="0" w:type="dxa"/>
            <w:left w:w="108" w:type="dxa"/>
            <w:bottom w:w="0" w:type="dxa"/>
            <w:right w:w="108" w:type="dxa"/>
          </w:tblCellMar>
        </w:tblPrEx>
        <w:trPr>
          <w:trHeight w:val="918"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eastAsia="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26</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提升国家（区域）治理能力 坚持和完善中国特色社会主义制度</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hint="eastAsia" w:eastAsia="宋体"/>
                <w:bCs/>
                <w:color w:val="000000" w:themeColor="text1"/>
                <w:szCs w:val="21"/>
                <w:lang w:val="en-US" w:eastAsia="zh-CN"/>
                <w14:textFill>
                  <w14:solidFill>
                    <w14:schemeClr w14:val="tx1"/>
                  </w14:solidFill>
                </w14:textFill>
              </w:rPr>
            </w:pPr>
            <w:r>
              <w:rPr>
                <w:rFonts w:hint="eastAsia" w:ascii="宋体" w:hAnsi="宋体" w:cs="宋体"/>
                <w:color w:val="000000"/>
                <w:kern w:val="0"/>
                <w:szCs w:val="21"/>
              </w:rPr>
              <w:t>中共中央党校（国家行政学院）政治和法律部教授、博士生导师任进</w:t>
            </w:r>
            <w:r>
              <w:rPr>
                <w:rFonts w:hint="eastAsia" w:ascii="宋体" w:hAnsi="宋体" w:cs="宋体"/>
                <w:color w:val="000000"/>
                <w:kern w:val="0"/>
                <w:szCs w:val="21"/>
                <w:lang w:val="en-US" w:eastAsia="zh-CN"/>
              </w:rPr>
              <w:t>主讲。</w:t>
            </w:r>
          </w:p>
          <w:p>
            <w:pPr>
              <w:spacing w:line="240" w:lineRule="auto"/>
              <w:rPr>
                <w:rFonts w:cs="Arial"/>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课程内容：</w:t>
            </w:r>
            <w:r>
              <w:rPr>
                <w:rFonts w:hint="eastAsia"/>
                <w:bCs/>
                <w:color w:val="000000" w:themeColor="text1"/>
                <w:szCs w:val="21"/>
                <w:lang w:val="en-US" w:eastAsia="zh-CN"/>
                <w14:textFill>
                  <w14:solidFill>
                    <w14:schemeClr w14:val="tx1"/>
                  </w14:solidFill>
                </w14:textFill>
              </w:rPr>
              <w:t>本课程详细介绍了</w:t>
            </w:r>
            <w:r>
              <w:rPr>
                <w:rFonts w:hint="eastAsia" w:ascii="宋体" w:hAnsi="宋体" w:cs="宋体"/>
                <w:color w:val="000000"/>
                <w:kern w:val="0"/>
                <w:szCs w:val="21"/>
              </w:rPr>
              <w:t>坚持和完善中国特色社会主义制度、推进国家治理体系和治理能力现代化的显著优势、重大意义、总体要求和目标</w:t>
            </w:r>
            <w:r>
              <w:rPr>
                <w:rFonts w:hint="eastAsia" w:ascii="宋体" w:hAnsi="宋体" w:cs="宋体"/>
                <w:color w:val="000000"/>
                <w:kern w:val="0"/>
                <w:szCs w:val="21"/>
                <w:lang w:eastAsia="zh-CN"/>
              </w:rPr>
              <w:t>。</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eastAsia="宋体"/>
                <w:bCs/>
                <w:color w:val="000000" w:themeColor="text1"/>
                <w:szCs w:val="21"/>
                <w:lang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0.5</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bCs/>
                <w:color w:val="000000" w:themeColor="text1"/>
                <w:szCs w:val="21"/>
                <w14:textFill>
                  <w14:solidFill>
                    <w14:schemeClr w14:val="tx1"/>
                  </w14:solidFill>
                </w14:textFill>
              </w:rPr>
            </w:pPr>
            <w:r>
              <w:rPr>
                <w:rFonts w:hint="eastAsia"/>
                <w:bCs/>
                <w:color w:val="000000" w:themeColor="text1"/>
                <w:szCs w:val="21"/>
                <w:lang w:eastAsia="zh-CN"/>
                <w14:textFill>
                  <w14:solidFill>
                    <w14:schemeClr w14:val="tx1"/>
                  </w14:solidFill>
                </w14:textFill>
              </w:rPr>
              <w:t>微课程</w:t>
            </w:r>
          </w:p>
        </w:tc>
      </w:tr>
      <w:tr>
        <w:tblPrEx>
          <w:tblLayout w:type="fixed"/>
          <w:tblCellMar>
            <w:top w:w="0" w:type="dxa"/>
            <w:left w:w="108" w:type="dxa"/>
            <w:bottom w:w="0" w:type="dxa"/>
            <w:right w:w="108" w:type="dxa"/>
          </w:tblCellMar>
        </w:tblPrEx>
        <w:trPr>
          <w:trHeight w:val="1191"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eastAsia="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27</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提升国家（区域）治理能力 坚持和完善党的领导制度体系</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hint="eastAsia" w:eastAsia="宋体"/>
                <w:bCs/>
                <w:color w:val="000000" w:themeColor="text1"/>
                <w:szCs w:val="21"/>
                <w:lang w:val="en-US" w:eastAsia="zh-CN"/>
                <w14:textFill>
                  <w14:solidFill>
                    <w14:schemeClr w14:val="tx1"/>
                  </w14:solidFill>
                </w14:textFill>
              </w:rPr>
            </w:pPr>
            <w:r>
              <w:rPr>
                <w:rFonts w:hint="eastAsia" w:ascii="宋体" w:hAnsi="宋体" w:cs="宋体"/>
                <w:color w:val="000000"/>
                <w:kern w:val="0"/>
                <w:szCs w:val="21"/>
              </w:rPr>
              <w:t>中共中央党校（国家行政学院）政治和法律部教授、博士生导师任进</w:t>
            </w:r>
            <w:r>
              <w:rPr>
                <w:rFonts w:hint="eastAsia" w:ascii="宋体" w:hAnsi="宋体" w:cs="宋体"/>
                <w:color w:val="000000"/>
                <w:kern w:val="0"/>
                <w:szCs w:val="21"/>
                <w:lang w:val="en-US" w:eastAsia="zh-CN"/>
              </w:rPr>
              <w:t>主讲。</w:t>
            </w:r>
          </w:p>
          <w:p>
            <w:pPr>
              <w:spacing w:line="240" w:lineRule="auto"/>
              <w:rPr>
                <w:rFonts w:cs="Arial"/>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课程内容：</w:t>
            </w:r>
            <w:r>
              <w:rPr>
                <w:rFonts w:hint="eastAsia"/>
                <w:bCs/>
                <w:color w:val="000000" w:themeColor="text1"/>
                <w:szCs w:val="21"/>
                <w:lang w:val="en-US" w:eastAsia="zh-CN"/>
                <w14:textFill>
                  <w14:solidFill>
                    <w14:schemeClr w14:val="tx1"/>
                  </w14:solidFill>
                </w14:textFill>
              </w:rPr>
              <w:t>本课程详细介绍了如何</w:t>
            </w:r>
            <w:r>
              <w:rPr>
                <w:rFonts w:hint="eastAsia" w:ascii="宋体" w:hAnsi="宋体" w:cs="宋体"/>
                <w:color w:val="000000"/>
                <w:kern w:val="0"/>
                <w:szCs w:val="21"/>
              </w:rPr>
              <w:t>坚持和完善党的领导制度体系</w:t>
            </w:r>
            <w:r>
              <w:rPr>
                <w:rFonts w:hint="eastAsia" w:ascii="宋体" w:hAnsi="宋体" w:cs="宋体"/>
                <w:color w:val="000000"/>
                <w:kern w:val="0"/>
                <w:szCs w:val="21"/>
                <w:lang w:eastAsia="zh-CN"/>
              </w:rPr>
              <w:t>。</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eastAsia="宋体"/>
                <w:bCs/>
                <w:color w:val="000000" w:themeColor="text1"/>
                <w:szCs w:val="21"/>
                <w:lang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0.5</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bCs/>
                <w:color w:val="000000" w:themeColor="text1"/>
                <w:szCs w:val="21"/>
                <w14:textFill>
                  <w14:solidFill>
                    <w14:schemeClr w14:val="tx1"/>
                  </w14:solidFill>
                </w14:textFill>
              </w:rPr>
            </w:pPr>
            <w:r>
              <w:rPr>
                <w:rFonts w:hint="eastAsia"/>
                <w:bCs/>
                <w:color w:val="000000" w:themeColor="text1"/>
                <w:szCs w:val="21"/>
                <w:lang w:eastAsia="zh-CN"/>
                <w14:textFill>
                  <w14:solidFill>
                    <w14:schemeClr w14:val="tx1"/>
                  </w14:solidFill>
                </w14:textFill>
              </w:rPr>
              <w:t>微课程</w:t>
            </w:r>
          </w:p>
        </w:tc>
      </w:tr>
      <w:tr>
        <w:tblPrEx>
          <w:tblLayout w:type="fixed"/>
          <w:tblCellMar>
            <w:top w:w="0" w:type="dxa"/>
            <w:left w:w="108" w:type="dxa"/>
            <w:bottom w:w="0" w:type="dxa"/>
            <w:right w:w="108" w:type="dxa"/>
          </w:tblCellMar>
        </w:tblPrEx>
        <w:trPr>
          <w:trHeight w:val="1146"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eastAsia="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28</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提升国家（区域）治理能力 坚持和完善人民当家做主制度体系</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hint="eastAsia" w:eastAsia="宋体"/>
                <w:bCs/>
                <w:color w:val="000000" w:themeColor="text1"/>
                <w:szCs w:val="21"/>
                <w:lang w:val="en-US" w:eastAsia="zh-CN"/>
                <w14:textFill>
                  <w14:solidFill>
                    <w14:schemeClr w14:val="tx1"/>
                  </w14:solidFill>
                </w14:textFill>
              </w:rPr>
            </w:pPr>
            <w:r>
              <w:rPr>
                <w:rFonts w:hint="eastAsia" w:ascii="宋体" w:hAnsi="宋体" w:cs="宋体"/>
                <w:color w:val="000000"/>
                <w:kern w:val="0"/>
                <w:szCs w:val="21"/>
              </w:rPr>
              <w:t>中共中央党校（国家行政学院）政治和法律部教授、博士生导师任进</w:t>
            </w:r>
            <w:r>
              <w:rPr>
                <w:rFonts w:hint="eastAsia" w:ascii="宋体" w:hAnsi="宋体" w:cs="宋体"/>
                <w:color w:val="000000"/>
                <w:kern w:val="0"/>
                <w:szCs w:val="21"/>
                <w:lang w:val="en-US" w:eastAsia="zh-CN"/>
              </w:rPr>
              <w:t>主讲。</w:t>
            </w:r>
          </w:p>
          <w:p>
            <w:pPr>
              <w:spacing w:line="240" w:lineRule="auto"/>
              <w:rPr>
                <w:rFonts w:cs="Arial"/>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课程内容：</w:t>
            </w:r>
            <w:r>
              <w:rPr>
                <w:rFonts w:hint="eastAsia"/>
                <w:bCs/>
                <w:color w:val="000000" w:themeColor="text1"/>
                <w:szCs w:val="21"/>
                <w:lang w:val="en-US" w:eastAsia="zh-CN"/>
                <w14:textFill>
                  <w14:solidFill>
                    <w14:schemeClr w14:val="tx1"/>
                  </w14:solidFill>
                </w14:textFill>
              </w:rPr>
              <w:t>本课程详细介绍了如何</w:t>
            </w:r>
            <w:r>
              <w:rPr>
                <w:rFonts w:hint="eastAsia" w:ascii="宋体" w:hAnsi="宋体" w:cs="宋体"/>
                <w:color w:val="000000"/>
                <w:kern w:val="0"/>
                <w:szCs w:val="21"/>
              </w:rPr>
              <w:t>坚持和完善人民当家作主制度体系</w:t>
            </w:r>
            <w:r>
              <w:rPr>
                <w:rFonts w:hint="eastAsia" w:ascii="宋体" w:hAnsi="宋体" w:cs="宋体"/>
                <w:color w:val="000000"/>
                <w:kern w:val="0"/>
                <w:szCs w:val="21"/>
                <w:lang w:eastAsia="zh-CN"/>
              </w:rPr>
              <w:t>。</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0.5</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bCs/>
                <w:color w:val="000000" w:themeColor="text1"/>
                <w:szCs w:val="21"/>
                <w14:textFill>
                  <w14:solidFill>
                    <w14:schemeClr w14:val="tx1"/>
                  </w14:solidFill>
                </w14:textFill>
              </w:rPr>
            </w:pPr>
            <w:r>
              <w:rPr>
                <w:rFonts w:hint="eastAsia"/>
                <w:bCs/>
                <w:color w:val="000000" w:themeColor="text1"/>
                <w:szCs w:val="21"/>
                <w:lang w:eastAsia="zh-CN"/>
                <w14:textFill>
                  <w14:solidFill>
                    <w14:schemeClr w14:val="tx1"/>
                  </w14:solidFill>
                </w14:textFill>
              </w:rPr>
              <w:t>微课程</w:t>
            </w:r>
          </w:p>
        </w:tc>
      </w:tr>
      <w:tr>
        <w:tblPrEx>
          <w:tblLayout w:type="fixed"/>
          <w:tblCellMar>
            <w:top w:w="0" w:type="dxa"/>
            <w:left w:w="108" w:type="dxa"/>
            <w:bottom w:w="0" w:type="dxa"/>
            <w:right w:w="108" w:type="dxa"/>
          </w:tblCellMar>
        </w:tblPrEx>
        <w:trPr>
          <w:trHeight w:val="1506"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eastAsia="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29</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提升国家（区域）治理能力 坚持和完善中国特色社会主义法治体系</w:t>
            </w:r>
          </w:p>
        </w:tc>
        <w:tc>
          <w:tcPr>
            <w:tcW w:w="8788"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hint="eastAsia" w:eastAsia="宋体"/>
                <w:bCs/>
                <w:color w:val="000000" w:themeColor="text1"/>
                <w:szCs w:val="21"/>
                <w:lang w:val="en-US" w:eastAsia="zh-CN"/>
                <w14:textFill>
                  <w14:solidFill>
                    <w14:schemeClr w14:val="tx1"/>
                  </w14:solidFill>
                </w14:textFill>
              </w:rPr>
            </w:pPr>
            <w:r>
              <w:rPr>
                <w:rFonts w:hint="eastAsia" w:ascii="宋体" w:hAnsi="宋体" w:cs="宋体"/>
                <w:color w:val="000000"/>
                <w:kern w:val="0"/>
                <w:szCs w:val="21"/>
              </w:rPr>
              <w:t>中共中央党校（国家行政学院）政治和法律部教授、博士生导师任进</w:t>
            </w:r>
            <w:r>
              <w:rPr>
                <w:rFonts w:hint="eastAsia" w:ascii="宋体" w:hAnsi="宋体" w:cs="宋体"/>
                <w:color w:val="000000"/>
                <w:kern w:val="0"/>
                <w:szCs w:val="21"/>
                <w:lang w:val="en-US" w:eastAsia="zh-CN"/>
              </w:rPr>
              <w:t>主讲。</w:t>
            </w:r>
          </w:p>
          <w:p>
            <w:pPr>
              <w:spacing w:line="240" w:lineRule="auto"/>
              <w:rPr>
                <w:rFonts w:cs="Arial"/>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课程内容：</w:t>
            </w:r>
            <w:r>
              <w:rPr>
                <w:rFonts w:hint="eastAsia"/>
                <w:bCs/>
                <w:color w:val="000000" w:themeColor="text1"/>
                <w:szCs w:val="21"/>
                <w:lang w:val="en-US" w:eastAsia="zh-CN"/>
                <w14:textFill>
                  <w14:solidFill>
                    <w14:schemeClr w14:val="tx1"/>
                  </w14:solidFill>
                </w14:textFill>
              </w:rPr>
              <w:t>本课程详细介绍了如何</w:t>
            </w:r>
            <w:r>
              <w:rPr>
                <w:rFonts w:hint="eastAsia" w:ascii="宋体" w:hAnsi="宋体" w:cs="宋体"/>
                <w:color w:val="000000"/>
                <w:kern w:val="0"/>
                <w:szCs w:val="21"/>
              </w:rPr>
              <w:t>坚持和完善中国特色社会主义法治体系</w:t>
            </w:r>
            <w:r>
              <w:rPr>
                <w:rFonts w:hint="eastAsia" w:ascii="宋体" w:hAnsi="宋体" w:cs="宋体"/>
                <w:color w:val="000000"/>
                <w:kern w:val="0"/>
                <w:szCs w:val="21"/>
                <w:lang w:eastAsia="zh-CN"/>
              </w:rPr>
              <w:t>。</w:t>
            </w:r>
          </w:p>
        </w:tc>
        <w:tc>
          <w:tcPr>
            <w:tcW w:w="1100"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hint="eastAsia" w:eastAsia="宋体"/>
                <w:bCs/>
                <w:color w:val="000000" w:themeColor="text1"/>
                <w:szCs w:val="21"/>
                <w:lang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0.5</w:t>
            </w:r>
          </w:p>
        </w:tc>
        <w:tc>
          <w:tcPr>
            <w:tcW w:w="984"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bCs/>
                <w:color w:val="000000" w:themeColor="text1"/>
                <w:szCs w:val="21"/>
                <w14:textFill>
                  <w14:solidFill>
                    <w14:schemeClr w14:val="tx1"/>
                  </w14:solidFill>
                </w14:textFill>
              </w:rPr>
            </w:pPr>
            <w:r>
              <w:rPr>
                <w:rFonts w:hint="eastAsia"/>
                <w:bCs/>
                <w:color w:val="000000" w:themeColor="text1"/>
                <w:szCs w:val="21"/>
                <w:lang w:eastAsia="zh-CN"/>
                <w14:textFill>
                  <w14:solidFill>
                    <w14:schemeClr w14:val="tx1"/>
                  </w14:solidFill>
                </w14:textFill>
              </w:rPr>
              <w:t>微课程</w:t>
            </w:r>
          </w:p>
        </w:tc>
      </w:tr>
      <w:tr>
        <w:tblPrEx>
          <w:tblLayout w:type="fixed"/>
          <w:tblCellMar>
            <w:top w:w="0" w:type="dxa"/>
            <w:left w:w="108" w:type="dxa"/>
            <w:bottom w:w="0" w:type="dxa"/>
            <w:right w:w="108" w:type="dxa"/>
          </w:tblCellMar>
        </w:tblPrEx>
        <w:trPr>
          <w:trHeight w:val="1429"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eastAsia="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30</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提升国家（区域）治理能力 坚持和完善中国特色社会主义行政体制</w:t>
            </w:r>
          </w:p>
        </w:tc>
        <w:tc>
          <w:tcPr>
            <w:tcW w:w="8788"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hint="eastAsia" w:eastAsia="宋体"/>
                <w:bCs/>
                <w:color w:val="000000" w:themeColor="text1"/>
                <w:szCs w:val="21"/>
                <w:lang w:val="en-US" w:eastAsia="zh-CN"/>
                <w14:textFill>
                  <w14:solidFill>
                    <w14:schemeClr w14:val="tx1"/>
                  </w14:solidFill>
                </w14:textFill>
              </w:rPr>
            </w:pPr>
            <w:r>
              <w:rPr>
                <w:rFonts w:hint="eastAsia" w:ascii="宋体" w:hAnsi="宋体" w:cs="宋体"/>
                <w:color w:val="000000"/>
                <w:kern w:val="0"/>
                <w:szCs w:val="21"/>
              </w:rPr>
              <w:t>中共中央党校（国家行政学院）政治和法律部教授、博士生导师任进</w:t>
            </w:r>
            <w:r>
              <w:rPr>
                <w:rFonts w:hint="eastAsia" w:ascii="宋体" w:hAnsi="宋体" w:cs="宋体"/>
                <w:color w:val="000000"/>
                <w:kern w:val="0"/>
                <w:szCs w:val="21"/>
                <w:lang w:val="en-US" w:eastAsia="zh-CN"/>
              </w:rPr>
              <w:t>主讲。</w:t>
            </w:r>
          </w:p>
          <w:p>
            <w:pPr>
              <w:spacing w:line="240" w:lineRule="auto"/>
              <w:rPr>
                <w:rFonts w:cs="Arial"/>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课程内容：</w:t>
            </w:r>
            <w:r>
              <w:rPr>
                <w:rFonts w:hint="eastAsia"/>
                <w:bCs/>
                <w:color w:val="000000" w:themeColor="text1"/>
                <w:szCs w:val="21"/>
                <w:lang w:val="en-US" w:eastAsia="zh-CN"/>
                <w14:textFill>
                  <w14:solidFill>
                    <w14:schemeClr w14:val="tx1"/>
                  </w14:solidFill>
                </w14:textFill>
              </w:rPr>
              <w:t>本课程详细介绍了如何</w:t>
            </w:r>
            <w:r>
              <w:rPr>
                <w:rFonts w:hint="eastAsia" w:ascii="宋体" w:hAnsi="宋体" w:cs="宋体"/>
                <w:color w:val="000000"/>
                <w:kern w:val="0"/>
                <w:szCs w:val="21"/>
              </w:rPr>
              <w:t>坚持和完善中国特色社会主义行政体制</w:t>
            </w:r>
            <w:r>
              <w:rPr>
                <w:rFonts w:hint="eastAsia" w:ascii="宋体" w:hAnsi="宋体" w:cs="宋体"/>
                <w:color w:val="000000"/>
                <w:kern w:val="0"/>
                <w:szCs w:val="21"/>
                <w:lang w:eastAsia="zh-CN"/>
              </w:rPr>
              <w:t>。</w:t>
            </w:r>
          </w:p>
        </w:tc>
        <w:tc>
          <w:tcPr>
            <w:tcW w:w="1100"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hint="default" w:eastAsia="宋体"/>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0.5</w:t>
            </w:r>
          </w:p>
        </w:tc>
        <w:tc>
          <w:tcPr>
            <w:tcW w:w="984"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bCs/>
                <w:color w:val="000000" w:themeColor="text1"/>
                <w:szCs w:val="21"/>
                <w14:textFill>
                  <w14:solidFill>
                    <w14:schemeClr w14:val="tx1"/>
                  </w14:solidFill>
                </w14:textFill>
              </w:rPr>
            </w:pPr>
            <w:r>
              <w:rPr>
                <w:rFonts w:hint="eastAsia"/>
                <w:bCs/>
                <w:color w:val="000000" w:themeColor="text1"/>
                <w:szCs w:val="21"/>
                <w:lang w:eastAsia="zh-CN"/>
                <w14:textFill>
                  <w14:solidFill>
                    <w14:schemeClr w14:val="tx1"/>
                  </w14:solidFill>
                </w14:textFill>
              </w:rPr>
              <w:t>微课程</w:t>
            </w:r>
          </w:p>
        </w:tc>
      </w:tr>
      <w:tr>
        <w:tblPrEx>
          <w:tblLayout w:type="fixed"/>
          <w:tblCellMar>
            <w:top w:w="0" w:type="dxa"/>
            <w:left w:w="108" w:type="dxa"/>
            <w:bottom w:w="0" w:type="dxa"/>
            <w:right w:w="108" w:type="dxa"/>
          </w:tblCellMar>
        </w:tblPrEx>
        <w:trPr>
          <w:trHeight w:val="1454"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eastAsia="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31</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提升国家（区域）治理能力 坚持和完善社会主义基本经济制度</w:t>
            </w:r>
          </w:p>
        </w:tc>
        <w:tc>
          <w:tcPr>
            <w:tcW w:w="8788"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hint="eastAsia" w:eastAsia="宋体"/>
                <w:bCs/>
                <w:color w:val="000000" w:themeColor="text1"/>
                <w:szCs w:val="21"/>
                <w:lang w:val="en-US" w:eastAsia="zh-CN"/>
                <w14:textFill>
                  <w14:solidFill>
                    <w14:schemeClr w14:val="tx1"/>
                  </w14:solidFill>
                </w14:textFill>
              </w:rPr>
            </w:pPr>
            <w:r>
              <w:rPr>
                <w:rFonts w:hint="eastAsia" w:ascii="宋体" w:hAnsi="宋体" w:cs="宋体"/>
                <w:color w:val="000000"/>
                <w:kern w:val="0"/>
                <w:szCs w:val="21"/>
              </w:rPr>
              <w:t>中共中央党校（国家行政学院）政治和法律部教授、博士生导师任进</w:t>
            </w:r>
            <w:r>
              <w:rPr>
                <w:rFonts w:hint="eastAsia" w:ascii="宋体" w:hAnsi="宋体" w:cs="宋体"/>
                <w:color w:val="000000"/>
                <w:kern w:val="0"/>
                <w:szCs w:val="21"/>
                <w:lang w:val="en-US" w:eastAsia="zh-CN"/>
              </w:rPr>
              <w:t>主讲。</w:t>
            </w:r>
          </w:p>
          <w:p>
            <w:pPr>
              <w:spacing w:line="240" w:lineRule="auto"/>
              <w:rPr>
                <w:rFonts w:cs="Arial"/>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课程内容：</w:t>
            </w:r>
            <w:r>
              <w:rPr>
                <w:rFonts w:hint="eastAsia"/>
                <w:bCs/>
                <w:color w:val="000000" w:themeColor="text1"/>
                <w:szCs w:val="21"/>
                <w:lang w:val="en-US" w:eastAsia="zh-CN"/>
                <w14:textFill>
                  <w14:solidFill>
                    <w14:schemeClr w14:val="tx1"/>
                  </w14:solidFill>
                </w14:textFill>
              </w:rPr>
              <w:t>本课程详细介绍了如何</w:t>
            </w:r>
            <w:r>
              <w:rPr>
                <w:rFonts w:hint="eastAsia" w:ascii="宋体" w:hAnsi="宋体" w:cs="宋体"/>
                <w:color w:val="000000"/>
                <w:kern w:val="0"/>
                <w:szCs w:val="21"/>
              </w:rPr>
              <w:t>坚持和完善社会主义基本经济制度</w:t>
            </w:r>
            <w:r>
              <w:rPr>
                <w:rFonts w:hint="eastAsia" w:ascii="宋体" w:hAnsi="宋体" w:cs="宋体"/>
                <w:color w:val="000000"/>
                <w:kern w:val="0"/>
                <w:szCs w:val="21"/>
                <w:lang w:eastAsia="zh-CN"/>
              </w:rPr>
              <w:t>。</w:t>
            </w:r>
          </w:p>
        </w:tc>
        <w:tc>
          <w:tcPr>
            <w:tcW w:w="1100"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hint="default" w:eastAsia="宋体"/>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0.5</w:t>
            </w:r>
          </w:p>
        </w:tc>
        <w:tc>
          <w:tcPr>
            <w:tcW w:w="984"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bCs/>
                <w:color w:val="000000" w:themeColor="text1"/>
                <w:szCs w:val="21"/>
                <w14:textFill>
                  <w14:solidFill>
                    <w14:schemeClr w14:val="tx1"/>
                  </w14:solidFill>
                </w14:textFill>
              </w:rPr>
            </w:pPr>
            <w:r>
              <w:rPr>
                <w:rFonts w:hint="eastAsia"/>
                <w:bCs/>
                <w:color w:val="000000" w:themeColor="text1"/>
                <w:szCs w:val="21"/>
                <w:lang w:eastAsia="zh-CN"/>
                <w14:textFill>
                  <w14:solidFill>
                    <w14:schemeClr w14:val="tx1"/>
                  </w14:solidFill>
                </w14:textFill>
              </w:rPr>
              <w:t>微课程</w:t>
            </w:r>
          </w:p>
        </w:tc>
      </w:tr>
      <w:tr>
        <w:tblPrEx>
          <w:tblLayout w:type="fixed"/>
          <w:tblCellMar>
            <w:top w:w="0" w:type="dxa"/>
            <w:left w:w="108" w:type="dxa"/>
            <w:bottom w:w="0" w:type="dxa"/>
            <w:right w:w="108" w:type="dxa"/>
          </w:tblCellMar>
        </w:tblPrEx>
        <w:trPr>
          <w:trHeight w:val="1279"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eastAsia="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32</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提升国家（区域）治理能力 坚持和完善共建共治共享的社会主义治理制度</w:t>
            </w:r>
          </w:p>
        </w:tc>
        <w:tc>
          <w:tcPr>
            <w:tcW w:w="8788"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hint="eastAsia" w:eastAsia="宋体"/>
                <w:bCs/>
                <w:color w:val="000000" w:themeColor="text1"/>
                <w:szCs w:val="21"/>
                <w:lang w:val="en-US" w:eastAsia="zh-CN"/>
                <w14:textFill>
                  <w14:solidFill>
                    <w14:schemeClr w14:val="tx1"/>
                  </w14:solidFill>
                </w14:textFill>
              </w:rPr>
            </w:pPr>
            <w:r>
              <w:rPr>
                <w:rFonts w:hint="eastAsia" w:ascii="宋体" w:hAnsi="宋体" w:cs="宋体"/>
                <w:color w:val="000000"/>
                <w:kern w:val="0"/>
                <w:szCs w:val="21"/>
              </w:rPr>
              <w:t>中共中央党校（国家行政学院）政治和法律部教授、博士生导师任进</w:t>
            </w:r>
            <w:r>
              <w:rPr>
                <w:rFonts w:hint="eastAsia" w:ascii="宋体" w:hAnsi="宋体" w:cs="宋体"/>
                <w:color w:val="000000"/>
                <w:kern w:val="0"/>
                <w:szCs w:val="21"/>
                <w:lang w:val="en-US" w:eastAsia="zh-CN"/>
              </w:rPr>
              <w:t>主讲。</w:t>
            </w:r>
          </w:p>
          <w:p>
            <w:pPr>
              <w:spacing w:line="240" w:lineRule="auto"/>
              <w:rPr>
                <w:rFonts w:cs="Arial"/>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课程内容：</w:t>
            </w:r>
            <w:r>
              <w:rPr>
                <w:rFonts w:hint="eastAsia"/>
                <w:bCs/>
                <w:color w:val="000000" w:themeColor="text1"/>
                <w:szCs w:val="21"/>
                <w:lang w:val="en-US" w:eastAsia="zh-CN"/>
                <w14:textFill>
                  <w14:solidFill>
                    <w14:schemeClr w14:val="tx1"/>
                  </w14:solidFill>
                </w14:textFill>
              </w:rPr>
              <w:t>本课程详细介绍了如何</w:t>
            </w:r>
            <w:r>
              <w:rPr>
                <w:rFonts w:hint="eastAsia" w:ascii="宋体" w:hAnsi="宋体" w:cs="宋体"/>
                <w:color w:val="000000"/>
                <w:kern w:val="0"/>
                <w:szCs w:val="21"/>
              </w:rPr>
              <w:t>坚持和完善共建共治共享的社会治理制度</w:t>
            </w:r>
            <w:r>
              <w:rPr>
                <w:rFonts w:hint="eastAsia" w:ascii="宋体" w:hAnsi="宋体" w:cs="宋体"/>
                <w:color w:val="000000"/>
                <w:kern w:val="0"/>
                <w:szCs w:val="21"/>
                <w:lang w:eastAsia="zh-CN"/>
              </w:rPr>
              <w:t>。</w:t>
            </w:r>
          </w:p>
        </w:tc>
        <w:tc>
          <w:tcPr>
            <w:tcW w:w="1100"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hint="default" w:eastAsia="宋体"/>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0.5</w:t>
            </w:r>
          </w:p>
        </w:tc>
        <w:tc>
          <w:tcPr>
            <w:tcW w:w="984"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bCs/>
                <w:color w:val="000000" w:themeColor="text1"/>
                <w:szCs w:val="21"/>
                <w14:textFill>
                  <w14:solidFill>
                    <w14:schemeClr w14:val="tx1"/>
                  </w14:solidFill>
                </w14:textFill>
              </w:rPr>
            </w:pPr>
            <w:r>
              <w:rPr>
                <w:rFonts w:hint="eastAsia"/>
                <w:bCs/>
                <w:color w:val="000000" w:themeColor="text1"/>
                <w:szCs w:val="21"/>
                <w:lang w:eastAsia="zh-CN"/>
                <w14:textFill>
                  <w14:solidFill>
                    <w14:schemeClr w14:val="tx1"/>
                  </w14:solidFill>
                </w14:textFill>
              </w:rPr>
              <w:t>微课程</w:t>
            </w:r>
          </w:p>
        </w:tc>
      </w:tr>
      <w:tr>
        <w:tblPrEx>
          <w:tblLayout w:type="fixed"/>
          <w:tblCellMar>
            <w:top w:w="0" w:type="dxa"/>
            <w:left w:w="108" w:type="dxa"/>
            <w:bottom w:w="0" w:type="dxa"/>
            <w:right w:w="108" w:type="dxa"/>
          </w:tblCellMar>
        </w:tblPrEx>
        <w:trPr>
          <w:trHeight w:val="1314"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eastAsia="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33</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提升国家（区域）治理能力 坚持和完善党和国家监督体系</w:t>
            </w:r>
          </w:p>
        </w:tc>
        <w:tc>
          <w:tcPr>
            <w:tcW w:w="8788"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hint="eastAsia" w:eastAsia="宋体"/>
                <w:bCs/>
                <w:color w:val="000000" w:themeColor="text1"/>
                <w:szCs w:val="21"/>
                <w:lang w:val="en-US" w:eastAsia="zh-CN"/>
                <w14:textFill>
                  <w14:solidFill>
                    <w14:schemeClr w14:val="tx1"/>
                  </w14:solidFill>
                </w14:textFill>
              </w:rPr>
            </w:pPr>
            <w:r>
              <w:rPr>
                <w:rFonts w:hint="eastAsia" w:ascii="宋体" w:hAnsi="宋体" w:cs="宋体"/>
                <w:color w:val="000000"/>
                <w:kern w:val="0"/>
                <w:szCs w:val="21"/>
              </w:rPr>
              <w:t>中共中央党校（国家行政学院）政治和法律部教授、博士生导师任进</w:t>
            </w:r>
            <w:r>
              <w:rPr>
                <w:rFonts w:hint="eastAsia" w:ascii="宋体" w:hAnsi="宋体" w:cs="宋体"/>
                <w:color w:val="000000"/>
                <w:kern w:val="0"/>
                <w:szCs w:val="21"/>
                <w:lang w:val="en-US" w:eastAsia="zh-CN"/>
              </w:rPr>
              <w:t>主讲。</w:t>
            </w:r>
          </w:p>
          <w:p>
            <w:pPr>
              <w:spacing w:line="240" w:lineRule="auto"/>
              <w:rPr>
                <w:rFonts w:cs="Arial"/>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课程内容：</w:t>
            </w:r>
            <w:r>
              <w:rPr>
                <w:rFonts w:hint="eastAsia"/>
                <w:bCs/>
                <w:color w:val="000000" w:themeColor="text1"/>
                <w:szCs w:val="21"/>
                <w:lang w:val="en-US" w:eastAsia="zh-CN"/>
                <w14:textFill>
                  <w14:solidFill>
                    <w14:schemeClr w14:val="tx1"/>
                  </w14:solidFill>
                </w14:textFill>
              </w:rPr>
              <w:t>本课程详细介绍了如何</w:t>
            </w:r>
            <w:r>
              <w:rPr>
                <w:rFonts w:hint="eastAsia" w:ascii="宋体" w:hAnsi="宋体" w:cs="宋体"/>
                <w:color w:val="000000"/>
                <w:kern w:val="0"/>
                <w:szCs w:val="21"/>
              </w:rPr>
              <w:t>坚持和完善党和国家监督体系</w:t>
            </w:r>
            <w:r>
              <w:rPr>
                <w:rFonts w:hint="eastAsia" w:ascii="宋体" w:hAnsi="宋体" w:cs="宋体"/>
                <w:color w:val="000000"/>
                <w:kern w:val="0"/>
                <w:szCs w:val="21"/>
                <w:lang w:eastAsia="zh-CN"/>
              </w:rPr>
              <w:t>。</w:t>
            </w:r>
          </w:p>
        </w:tc>
        <w:tc>
          <w:tcPr>
            <w:tcW w:w="1100"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hint="eastAsia" w:eastAsia="宋体"/>
                <w:bCs/>
                <w:color w:val="000000" w:themeColor="text1"/>
                <w:szCs w:val="21"/>
                <w:lang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0.5</w:t>
            </w:r>
          </w:p>
        </w:tc>
        <w:tc>
          <w:tcPr>
            <w:tcW w:w="984"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bCs/>
                <w:color w:val="000000" w:themeColor="text1"/>
                <w:szCs w:val="21"/>
                <w14:textFill>
                  <w14:solidFill>
                    <w14:schemeClr w14:val="tx1"/>
                  </w14:solidFill>
                </w14:textFill>
              </w:rPr>
            </w:pPr>
            <w:r>
              <w:rPr>
                <w:rFonts w:hint="eastAsia"/>
                <w:bCs/>
                <w:color w:val="000000" w:themeColor="text1"/>
                <w:szCs w:val="21"/>
                <w:lang w:eastAsia="zh-CN"/>
                <w14:textFill>
                  <w14:solidFill>
                    <w14:schemeClr w14:val="tx1"/>
                  </w14:solidFill>
                </w14:textFill>
              </w:rPr>
              <w:t>微课程</w:t>
            </w:r>
          </w:p>
        </w:tc>
      </w:tr>
      <w:tr>
        <w:tblPrEx>
          <w:tblLayout w:type="fixed"/>
          <w:tblCellMar>
            <w:top w:w="0" w:type="dxa"/>
            <w:left w:w="108" w:type="dxa"/>
            <w:bottom w:w="0" w:type="dxa"/>
            <w:right w:w="108" w:type="dxa"/>
          </w:tblCellMar>
        </w:tblPrEx>
        <w:trPr>
          <w:trHeight w:val="1224"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eastAsia="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34</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提升国家（区域）治理能力 健全充分发挥中央和地方两个积极性体制机制</w:t>
            </w:r>
          </w:p>
        </w:tc>
        <w:tc>
          <w:tcPr>
            <w:tcW w:w="8788"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hint="eastAsia" w:eastAsia="宋体"/>
                <w:bCs/>
                <w:color w:val="000000" w:themeColor="text1"/>
                <w:szCs w:val="21"/>
                <w:lang w:val="en-US" w:eastAsia="zh-CN"/>
                <w14:textFill>
                  <w14:solidFill>
                    <w14:schemeClr w14:val="tx1"/>
                  </w14:solidFill>
                </w14:textFill>
              </w:rPr>
            </w:pPr>
            <w:r>
              <w:rPr>
                <w:rFonts w:hint="eastAsia" w:ascii="宋体" w:hAnsi="宋体" w:cs="宋体"/>
                <w:color w:val="000000"/>
                <w:kern w:val="0"/>
                <w:szCs w:val="21"/>
              </w:rPr>
              <w:t>中共中央党校（国家行政学院）政治和法律部教授、博士生导师任进</w:t>
            </w:r>
            <w:r>
              <w:rPr>
                <w:rFonts w:hint="eastAsia" w:ascii="宋体" w:hAnsi="宋体" w:cs="宋体"/>
                <w:color w:val="000000"/>
                <w:kern w:val="0"/>
                <w:szCs w:val="21"/>
                <w:lang w:val="en-US" w:eastAsia="zh-CN"/>
              </w:rPr>
              <w:t>主讲。</w:t>
            </w:r>
          </w:p>
          <w:p>
            <w:pPr>
              <w:spacing w:line="240" w:lineRule="auto"/>
              <w:rPr>
                <w:rFonts w:cs="Arial"/>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课程内容：</w:t>
            </w:r>
            <w:r>
              <w:rPr>
                <w:rFonts w:hint="eastAsia"/>
                <w:bCs/>
                <w:color w:val="000000" w:themeColor="text1"/>
                <w:szCs w:val="21"/>
                <w:lang w:val="en-US" w:eastAsia="zh-CN"/>
                <w14:textFill>
                  <w14:solidFill>
                    <w14:schemeClr w14:val="tx1"/>
                  </w14:solidFill>
                </w14:textFill>
              </w:rPr>
              <w:t>本课程详细介绍了如何</w:t>
            </w:r>
            <w:r>
              <w:rPr>
                <w:rFonts w:hint="eastAsia" w:ascii="宋体" w:hAnsi="宋体" w:cs="宋体"/>
                <w:color w:val="000000"/>
                <w:kern w:val="0"/>
                <w:szCs w:val="21"/>
              </w:rPr>
              <w:t>健全充分发挥中央和地方两个积极性体制机制</w:t>
            </w:r>
            <w:r>
              <w:rPr>
                <w:rFonts w:hint="eastAsia" w:ascii="宋体" w:hAnsi="宋体" w:cs="宋体"/>
                <w:color w:val="000000"/>
                <w:kern w:val="0"/>
                <w:szCs w:val="21"/>
                <w:lang w:eastAsia="zh-CN"/>
              </w:rPr>
              <w:t>。</w:t>
            </w:r>
          </w:p>
        </w:tc>
        <w:tc>
          <w:tcPr>
            <w:tcW w:w="1100"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hint="eastAsia" w:eastAsia="宋体"/>
                <w:bCs/>
                <w:color w:val="000000" w:themeColor="text1"/>
                <w:szCs w:val="21"/>
                <w:lang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0.5</w:t>
            </w:r>
          </w:p>
        </w:tc>
        <w:tc>
          <w:tcPr>
            <w:tcW w:w="984"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bCs/>
                <w:color w:val="000000" w:themeColor="text1"/>
                <w:szCs w:val="21"/>
                <w14:textFill>
                  <w14:solidFill>
                    <w14:schemeClr w14:val="tx1"/>
                  </w14:solidFill>
                </w14:textFill>
              </w:rPr>
            </w:pPr>
            <w:r>
              <w:rPr>
                <w:rFonts w:hint="eastAsia"/>
                <w:bCs/>
                <w:color w:val="000000" w:themeColor="text1"/>
                <w:szCs w:val="21"/>
                <w:lang w:eastAsia="zh-CN"/>
                <w14:textFill>
                  <w14:solidFill>
                    <w14:schemeClr w14:val="tx1"/>
                  </w14:solidFill>
                </w14:textFill>
              </w:rPr>
              <w:t>微课程</w:t>
            </w:r>
          </w:p>
        </w:tc>
      </w:tr>
      <w:tr>
        <w:tblPrEx>
          <w:tblLayout w:type="fixed"/>
          <w:tblCellMar>
            <w:top w:w="0" w:type="dxa"/>
            <w:left w:w="108" w:type="dxa"/>
            <w:bottom w:w="0" w:type="dxa"/>
            <w:right w:w="108" w:type="dxa"/>
          </w:tblCellMar>
        </w:tblPrEx>
        <w:trPr>
          <w:trHeight w:val="1319"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eastAsia="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35</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党的十九届五中全会精神总体解读——“十四五”规划建议的重点和亮点</w:t>
            </w:r>
          </w:p>
        </w:tc>
        <w:tc>
          <w:tcPr>
            <w:tcW w:w="8788"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hint="default"/>
                <w:bCs/>
                <w:color w:val="000000" w:themeColor="text1"/>
                <w:szCs w:val="21"/>
                <w:lang w:val="en-US"/>
                <w14:textFill>
                  <w14:solidFill>
                    <w14:schemeClr w14:val="tx1"/>
                  </w14:solidFill>
                </w14:textFill>
              </w:rPr>
            </w:pPr>
            <w:r>
              <w:rPr>
                <w:rFonts w:hint="eastAsia" w:ascii="宋体" w:hAnsi="宋体" w:eastAsia="宋体" w:cs="宋体"/>
                <w:i w:val="0"/>
                <w:color w:val="000000"/>
                <w:kern w:val="0"/>
                <w:sz w:val="22"/>
                <w:szCs w:val="22"/>
                <w:u w:val="none"/>
                <w:lang w:val="en-US" w:eastAsia="zh-CN" w:bidi="ar"/>
              </w:rPr>
              <w:t>中国政策科学研究会经济政策委员会副主任徐洪</w:t>
            </w:r>
            <w:r>
              <w:rPr>
                <w:rFonts w:hint="eastAsia" w:ascii="宋体" w:hAnsi="宋体" w:cs="宋体"/>
                <w:i w:val="0"/>
                <w:color w:val="000000"/>
                <w:kern w:val="0"/>
                <w:sz w:val="22"/>
                <w:szCs w:val="22"/>
                <w:u w:val="none"/>
                <w:lang w:val="en-US" w:eastAsia="zh-CN" w:bidi="ar"/>
              </w:rPr>
              <w:t>才主讲。</w:t>
            </w:r>
          </w:p>
          <w:p>
            <w:pPr>
              <w:spacing w:line="240" w:lineRule="auto"/>
              <w:rPr>
                <w:rFonts w:cs="Arial"/>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课程内容：</w:t>
            </w:r>
            <w:r>
              <w:rPr>
                <w:rFonts w:hint="eastAsia" w:ascii="宋体" w:hAnsi="宋体" w:cs="宋体"/>
                <w:color w:val="000000"/>
                <w:kern w:val="0"/>
                <w:szCs w:val="21"/>
              </w:rPr>
              <w:t>解读全会精神与“十四五”规划建议的亮点和重点问题。</w:t>
            </w:r>
          </w:p>
        </w:tc>
        <w:tc>
          <w:tcPr>
            <w:tcW w:w="1100"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hint="eastAsia" w:eastAsia="宋体"/>
                <w:bCs/>
                <w:color w:val="000000" w:themeColor="text1"/>
                <w:szCs w:val="21"/>
                <w:lang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3</w:t>
            </w:r>
          </w:p>
        </w:tc>
        <w:tc>
          <w:tcPr>
            <w:tcW w:w="984"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bCs/>
                <w:color w:val="000000" w:themeColor="text1"/>
                <w:szCs w:val="21"/>
                <w14:textFill>
                  <w14:solidFill>
                    <w14:schemeClr w14:val="tx1"/>
                  </w14:solidFill>
                </w14:textFill>
              </w:rPr>
            </w:pPr>
          </w:p>
        </w:tc>
      </w:tr>
      <w:tr>
        <w:tblPrEx>
          <w:tblLayout w:type="fixed"/>
          <w:tblCellMar>
            <w:top w:w="0" w:type="dxa"/>
            <w:left w:w="108" w:type="dxa"/>
            <w:bottom w:w="0" w:type="dxa"/>
            <w:right w:w="108" w:type="dxa"/>
          </w:tblCellMar>
        </w:tblPrEx>
        <w:trPr>
          <w:trHeight w:val="1531"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eastAsia="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36</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坚持创新在我国现代化建设全局中的核心地位，把科技自立自强作为国家发展的战略支撑</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hint="default"/>
                <w:bCs/>
                <w:color w:val="000000" w:themeColor="text1"/>
                <w:szCs w:val="21"/>
                <w:lang w:val="en-US"/>
                <w14:textFill>
                  <w14:solidFill>
                    <w14:schemeClr w14:val="tx1"/>
                  </w14:solidFill>
                </w14:textFill>
              </w:rPr>
            </w:pPr>
            <w:r>
              <w:rPr>
                <w:rFonts w:hint="eastAsia" w:ascii="宋体" w:hAnsi="宋体" w:eastAsia="宋体" w:cs="宋体"/>
                <w:i w:val="0"/>
                <w:color w:val="000000"/>
                <w:kern w:val="0"/>
                <w:sz w:val="22"/>
                <w:szCs w:val="22"/>
                <w:u w:val="none"/>
                <w:lang w:val="en-US" w:eastAsia="zh-CN" w:bidi="ar"/>
              </w:rPr>
              <w:t>中国科学院科技战略咨询研究院研究员万劲波</w:t>
            </w:r>
            <w:r>
              <w:rPr>
                <w:rFonts w:hint="eastAsia" w:ascii="宋体" w:hAnsi="宋体" w:cs="宋体"/>
                <w:i w:val="0"/>
                <w:color w:val="000000"/>
                <w:kern w:val="0"/>
                <w:sz w:val="22"/>
                <w:szCs w:val="22"/>
                <w:u w:val="none"/>
                <w:lang w:val="en-US" w:eastAsia="zh-CN" w:bidi="ar"/>
              </w:rPr>
              <w:t>主讲。</w:t>
            </w:r>
          </w:p>
          <w:p>
            <w:pPr>
              <w:spacing w:line="240" w:lineRule="auto"/>
              <w:rPr>
                <w:rFonts w:cs="Arial"/>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课程内容：</w:t>
            </w:r>
            <w:r>
              <w:rPr>
                <w:rFonts w:hint="eastAsia" w:ascii="宋体" w:hAnsi="宋体" w:cs="宋体"/>
                <w:color w:val="000000"/>
                <w:kern w:val="0"/>
                <w:szCs w:val="21"/>
              </w:rPr>
              <w:t>详述十九届五中全会对科技创新的重要摆位和重大部署，深入讲解如何构建系统、完备、高效的国家科技创新体系。</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default" w:eastAsia="宋体"/>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3.5</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bCs/>
                <w:color w:val="000000" w:themeColor="text1"/>
                <w:szCs w:val="21"/>
                <w14:textFill>
                  <w14:solidFill>
                    <w14:schemeClr w14:val="tx1"/>
                  </w14:solidFill>
                </w14:textFill>
              </w:rPr>
            </w:pPr>
          </w:p>
        </w:tc>
      </w:tr>
      <w:tr>
        <w:tblPrEx>
          <w:tblLayout w:type="fixed"/>
          <w:tblCellMar>
            <w:top w:w="0" w:type="dxa"/>
            <w:left w:w="108" w:type="dxa"/>
            <w:bottom w:w="0" w:type="dxa"/>
            <w:right w:w="108" w:type="dxa"/>
          </w:tblCellMar>
        </w:tblPrEx>
        <w:trPr>
          <w:trHeight w:val="1199"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eastAsia="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37</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全面把握“十四五”时期全面深化国有企业改革的着力点</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hint="default"/>
                <w:bCs/>
                <w:color w:val="000000" w:themeColor="text1"/>
                <w:szCs w:val="21"/>
                <w:lang w:val="en-US"/>
                <w14:textFill>
                  <w14:solidFill>
                    <w14:schemeClr w14:val="tx1"/>
                  </w14:solidFill>
                </w14:textFill>
              </w:rPr>
            </w:pPr>
            <w:r>
              <w:rPr>
                <w:rFonts w:hint="eastAsia" w:ascii="宋体" w:hAnsi="宋体" w:eastAsia="宋体" w:cs="宋体"/>
                <w:i w:val="0"/>
                <w:color w:val="000000"/>
                <w:kern w:val="0"/>
                <w:sz w:val="22"/>
                <w:szCs w:val="22"/>
                <w:u w:val="none"/>
                <w:lang w:val="en-US" w:eastAsia="zh-CN" w:bidi="ar"/>
              </w:rPr>
              <w:t>国企研究专家胡迟</w:t>
            </w:r>
            <w:r>
              <w:rPr>
                <w:rFonts w:hint="eastAsia" w:ascii="宋体" w:hAnsi="宋体" w:cs="宋体"/>
                <w:i w:val="0"/>
                <w:color w:val="000000"/>
                <w:kern w:val="0"/>
                <w:sz w:val="22"/>
                <w:szCs w:val="22"/>
                <w:u w:val="none"/>
                <w:lang w:val="en-US" w:eastAsia="zh-CN" w:bidi="ar"/>
              </w:rPr>
              <w:t>主讲。</w:t>
            </w:r>
          </w:p>
          <w:p>
            <w:pPr>
              <w:spacing w:line="240" w:lineRule="auto"/>
              <w:rPr>
                <w:rFonts w:cs="Arial"/>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课程内容：</w:t>
            </w:r>
            <w:r>
              <w:rPr>
                <w:rFonts w:hint="eastAsia" w:ascii="宋体" w:hAnsi="宋体" w:cs="宋体"/>
                <w:color w:val="000000"/>
                <w:kern w:val="0"/>
                <w:szCs w:val="21"/>
              </w:rPr>
              <w:t>全方位阐述“十四五”时期全面深化国有企业改革的着力点，如何促进国有企业高质量发展。</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eastAsia="宋体"/>
                <w:bCs/>
                <w:color w:val="000000" w:themeColor="text1"/>
                <w:szCs w:val="21"/>
                <w:lang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3.5</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bCs/>
                <w:color w:val="000000" w:themeColor="text1"/>
                <w:szCs w:val="21"/>
                <w14:textFill>
                  <w14:solidFill>
                    <w14:schemeClr w14:val="tx1"/>
                  </w14:solidFill>
                </w14:textFill>
              </w:rPr>
            </w:pPr>
          </w:p>
        </w:tc>
      </w:tr>
      <w:tr>
        <w:tblPrEx>
          <w:tblLayout w:type="fixed"/>
          <w:tblCellMar>
            <w:top w:w="0" w:type="dxa"/>
            <w:left w:w="108" w:type="dxa"/>
            <w:bottom w:w="0" w:type="dxa"/>
            <w:right w:w="108" w:type="dxa"/>
          </w:tblCellMar>
        </w:tblPrEx>
        <w:trPr>
          <w:trHeight w:val="1289"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eastAsia="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38</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如何理解习近平新时代中国特色社会主义思想的丰富内涵？（上）</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hint="eastAsia" w:eastAsia="宋体"/>
                <w:bCs/>
                <w:color w:val="000000" w:themeColor="text1"/>
                <w:szCs w:val="21"/>
                <w:lang w:val="en-US" w:eastAsia="zh-CN"/>
                <w14:textFill>
                  <w14:solidFill>
                    <w14:schemeClr w14:val="tx1"/>
                  </w14:solidFill>
                </w14:textFill>
              </w:rPr>
            </w:pPr>
            <w:r>
              <w:rPr>
                <w:rFonts w:hint="eastAsia" w:ascii="宋体" w:hAnsi="宋体" w:cs="宋体"/>
                <w:color w:val="000000"/>
                <w:kern w:val="0"/>
                <w:szCs w:val="21"/>
              </w:rPr>
              <w:t>中央党校科研部教授、博士生导师洪向华</w:t>
            </w:r>
            <w:r>
              <w:rPr>
                <w:rFonts w:hint="eastAsia" w:ascii="宋体" w:hAnsi="宋体" w:cs="宋体"/>
                <w:color w:val="000000"/>
                <w:kern w:val="0"/>
                <w:szCs w:val="21"/>
                <w:lang w:val="en-US" w:eastAsia="zh-CN"/>
              </w:rPr>
              <w:t>主讲。</w:t>
            </w:r>
          </w:p>
          <w:p>
            <w:pPr>
              <w:spacing w:line="240" w:lineRule="auto"/>
              <w:rPr>
                <w:rFonts w:cs="Arial"/>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课程内容：</w:t>
            </w:r>
            <w:r>
              <w:rPr>
                <w:rFonts w:hint="eastAsia"/>
                <w:bCs/>
                <w:color w:val="000000" w:themeColor="text1"/>
                <w:szCs w:val="21"/>
                <w:lang w:val="en-US" w:eastAsia="zh-CN"/>
                <w14:textFill>
                  <w14:solidFill>
                    <w14:schemeClr w14:val="tx1"/>
                  </w14:solidFill>
                </w14:textFill>
              </w:rPr>
              <w:t>本课程详细介绍了</w:t>
            </w:r>
            <w:r>
              <w:rPr>
                <w:rFonts w:hint="eastAsia" w:ascii="宋体" w:hAnsi="宋体" w:cs="宋体"/>
                <w:color w:val="000000"/>
                <w:kern w:val="0"/>
                <w:szCs w:val="21"/>
              </w:rPr>
              <w:t>如何理解习近平新时代中国特色社会主义思想的丰富内涵</w:t>
            </w:r>
            <w:r>
              <w:rPr>
                <w:rFonts w:hint="eastAsia" w:ascii="宋体" w:hAnsi="宋体" w:cs="宋体"/>
                <w:color w:val="000000"/>
                <w:kern w:val="0"/>
                <w:szCs w:val="21"/>
                <w:lang w:eastAsia="zh-CN"/>
              </w:rPr>
              <w:t>。</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eastAsia="宋体"/>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0.5</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bCs/>
                <w:color w:val="000000" w:themeColor="text1"/>
                <w:szCs w:val="21"/>
                <w14:textFill>
                  <w14:solidFill>
                    <w14:schemeClr w14:val="tx1"/>
                  </w14:solidFill>
                </w14:textFill>
              </w:rPr>
            </w:pPr>
            <w:r>
              <w:rPr>
                <w:rFonts w:hint="eastAsia"/>
                <w:bCs/>
                <w:color w:val="000000" w:themeColor="text1"/>
                <w:szCs w:val="21"/>
                <w:lang w:eastAsia="zh-CN"/>
                <w14:textFill>
                  <w14:solidFill>
                    <w14:schemeClr w14:val="tx1"/>
                  </w14:solidFill>
                </w14:textFill>
              </w:rPr>
              <w:t>微课程</w:t>
            </w:r>
          </w:p>
        </w:tc>
      </w:tr>
      <w:tr>
        <w:tblPrEx>
          <w:tblLayout w:type="fixed"/>
          <w:tblCellMar>
            <w:top w:w="0" w:type="dxa"/>
            <w:left w:w="108" w:type="dxa"/>
            <w:bottom w:w="0" w:type="dxa"/>
            <w:right w:w="108" w:type="dxa"/>
          </w:tblCellMar>
        </w:tblPrEx>
        <w:trPr>
          <w:trHeight w:val="999"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eastAsia="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39</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如何理解习近平新时代中国特色社会主义思想的丰富内涵？（下）</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hint="eastAsia" w:eastAsia="宋体"/>
                <w:bCs/>
                <w:color w:val="000000" w:themeColor="text1"/>
                <w:szCs w:val="21"/>
                <w:lang w:val="en-US" w:eastAsia="zh-CN"/>
                <w14:textFill>
                  <w14:solidFill>
                    <w14:schemeClr w14:val="tx1"/>
                  </w14:solidFill>
                </w14:textFill>
              </w:rPr>
            </w:pPr>
            <w:r>
              <w:rPr>
                <w:rFonts w:hint="eastAsia" w:ascii="宋体" w:hAnsi="宋体" w:cs="宋体"/>
                <w:color w:val="000000"/>
                <w:kern w:val="0"/>
                <w:szCs w:val="21"/>
              </w:rPr>
              <w:t>中央党校科研部教授、博士生导师洪向华</w:t>
            </w:r>
            <w:r>
              <w:rPr>
                <w:rFonts w:hint="eastAsia" w:ascii="宋体" w:hAnsi="宋体" w:cs="宋体"/>
                <w:color w:val="000000"/>
                <w:kern w:val="0"/>
                <w:szCs w:val="21"/>
                <w:lang w:val="en-US" w:eastAsia="zh-CN"/>
              </w:rPr>
              <w:t>主讲。</w:t>
            </w:r>
          </w:p>
          <w:p>
            <w:pPr>
              <w:spacing w:line="240" w:lineRule="auto"/>
              <w:rPr>
                <w:rFonts w:cs="Arial"/>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课程内容：</w:t>
            </w:r>
            <w:r>
              <w:rPr>
                <w:rFonts w:hint="eastAsia"/>
                <w:bCs/>
                <w:color w:val="000000" w:themeColor="text1"/>
                <w:szCs w:val="21"/>
                <w:lang w:val="en-US" w:eastAsia="zh-CN"/>
                <w14:textFill>
                  <w14:solidFill>
                    <w14:schemeClr w14:val="tx1"/>
                  </w14:solidFill>
                </w14:textFill>
              </w:rPr>
              <w:t>本课程详细介绍了</w:t>
            </w:r>
            <w:r>
              <w:rPr>
                <w:rFonts w:hint="eastAsia" w:ascii="宋体" w:hAnsi="宋体" w:cs="宋体"/>
                <w:color w:val="000000"/>
                <w:kern w:val="0"/>
                <w:szCs w:val="21"/>
              </w:rPr>
              <w:t>如何理解习近平新时代中国特色社会主义思想的丰富内涵</w:t>
            </w:r>
            <w:r>
              <w:rPr>
                <w:rFonts w:hint="eastAsia" w:ascii="宋体" w:hAnsi="宋体" w:cs="宋体"/>
                <w:color w:val="000000"/>
                <w:kern w:val="0"/>
                <w:szCs w:val="21"/>
                <w:lang w:eastAsia="zh-CN"/>
              </w:rPr>
              <w:t>。</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eastAsia="宋体"/>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0.5</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bCs/>
                <w:color w:val="000000" w:themeColor="text1"/>
                <w:szCs w:val="21"/>
                <w14:textFill>
                  <w14:solidFill>
                    <w14:schemeClr w14:val="tx1"/>
                  </w14:solidFill>
                </w14:textFill>
              </w:rPr>
            </w:pPr>
            <w:r>
              <w:rPr>
                <w:rFonts w:hint="eastAsia"/>
                <w:bCs/>
                <w:color w:val="000000" w:themeColor="text1"/>
                <w:szCs w:val="21"/>
                <w:lang w:eastAsia="zh-CN"/>
                <w14:textFill>
                  <w14:solidFill>
                    <w14:schemeClr w14:val="tx1"/>
                  </w14:solidFill>
                </w14:textFill>
              </w:rPr>
              <w:t>微课程</w:t>
            </w:r>
          </w:p>
        </w:tc>
      </w:tr>
      <w:tr>
        <w:tblPrEx>
          <w:tblLayout w:type="fixed"/>
          <w:tblCellMar>
            <w:top w:w="0" w:type="dxa"/>
            <w:left w:w="108" w:type="dxa"/>
            <w:bottom w:w="0" w:type="dxa"/>
            <w:right w:w="108" w:type="dxa"/>
          </w:tblCellMar>
        </w:tblPrEx>
        <w:trPr>
          <w:trHeight w:val="1251"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eastAsia="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40</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为什么习近平新时代中国特色社会主义思想能够作为党的指导思想？（上）</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hint="eastAsia" w:eastAsia="宋体"/>
                <w:bCs/>
                <w:color w:val="000000" w:themeColor="text1"/>
                <w:szCs w:val="21"/>
                <w:lang w:val="en-US" w:eastAsia="zh-CN"/>
                <w14:textFill>
                  <w14:solidFill>
                    <w14:schemeClr w14:val="tx1"/>
                  </w14:solidFill>
                </w14:textFill>
              </w:rPr>
            </w:pPr>
            <w:r>
              <w:rPr>
                <w:rFonts w:hint="eastAsia" w:ascii="宋体" w:hAnsi="宋体" w:cs="宋体"/>
                <w:color w:val="000000"/>
                <w:kern w:val="0"/>
                <w:szCs w:val="21"/>
              </w:rPr>
              <w:t>中央党校科研部教授、博士生导师洪向华</w:t>
            </w:r>
            <w:r>
              <w:rPr>
                <w:rFonts w:hint="eastAsia" w:ascii="宋体" w:hAnsi="宋体" w:cs="宋体"/>
                <w:color w:val="000000"/>
                <w:kern w:val="0"/>
                <w:szCs w:val="21"/>
                <w:lang w:val="en-US" w:eastAsia="zh-CN"/>
              </w:rPr>
              <w:t>主讲。</w:t>
            </w:r>
          </w:p>
          <w:p>
            <w:pPr>
              <w:spacing w:line="240" w:lineRule="auto"/>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课程内容：</w:t>
            </w:r>
            <w:r>
              <w:rPr>
                <w:rFonts w:hint="eastAsia"/>
                <w:bCs/>
                <w:color w:val="000000" w:themeColor="text1"/>
                <w:szCs w:val="21"/>
                <w:lang w:val="en-US" w:eastAsia="zh-CN"/>
                <w14:textFill>
                  <w14:solidFill>
                    <w14:schemeClr w14:val="tx1"/>
                  </w14:solidFill>
                </w14:textFill>
              </w:rPr>
              <w:t>本课程详细介绍了</w:t>
            </w:r>
            <w:r>
              <w:rPr>
                <w:rFonts w:hint="eastAsia" w:ascii="宋体" w:hAnsi="宋体" w:cs="宋体"/>
                <w:color w:val="000000"/>
                <w:kern w:val="0"/>
                <w:szCs w:val="21"/>
              </w:rPr>
              <w:t>为什么习近平新时代中国特色社会主义思想能够作为党的指导思想</w:t>
            </w:r>
            <w:r>
              <w:rPr>
                <w:rFonts w:hint="eastAsia" w:ascii="宋体" w:hAnsi="宋体" w:cs="宋体"/>
                <w:color w:val="000000"/>
                <w:kern w:val="0"/>
                <w:szCs w:val="21"/>
                <w:lang w:eastAsia="zh-CN"/>
              </w:rPr>
              <w:t>。</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eastAsia="宋体"/>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0.5</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bCs/>
                <w:color w:val="000000" w:themeColor="text1"/>
                <w:szCs w:val="21"/>
                <w14:textFill>
                  <w14:solidFill>
                    <w14:schemeClr w14:val="tx1"/>
                  </w14:solidFill>
                </w14:textFill>
              </w:rPr>
            </w:pPr>
            <w:r>
              <w:rPr>
                <w:rFonts w:hint="eastAsia"/>
                <w:bCs/>
                <w:color w:val="000000" w:themeColor="text1"/>
                <w:szCs w:val="21"/>
                <w:lang w:eastAsia="zh-CN"/>
                <w14:textFill>
                  <w14:solidFill>
                    <w14:schemeClr w14:val="tx1"/>
                  </w14:solidFill>
                </w14:textFill>
              </w:rPr>
              <w:t>微课程</w:t>
            </w:r>
          </w:p>
        </w:tc>
      </w:tr>
      <w:tr>
        <w:tblPrEx>
          <w:tblLayout w:type="fixed"/>
          <w:tblCellMar>
            <w:top w:w="0" w:type="dxa"/>
            <w:left w:w="108" w:type="dxa"/>
            <w:bottom w:w="0" w:type="dxa"/>
            <w:right w:w="108" w:type="dxa"/>
          </w:tblCellMar>
        </w:tblPrEx>
        <w:trPr>
          <w:trHeight w:val="1699"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eastAsia="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41</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为什么习近平新时代中国特色社会主义思想能够作为党的指导思想？（下）</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hint="eastAsia" w:eastAsia="宋体"/>
                <w:bCs/>
                <w:color w:val="000000" w:themeColor="text1"/>
                <w:szCs w:val="21"/>
                <w:lang w:val="en-US" w:eastAsia="zh-CN"/>
                <w14:textFill>
                  <w14:solidFill>
                    <w14:schemeClr w14:val="tx1"/>
                  </w14:solidFill>
                </w14:textFill>
              </w:rPr>
            </w:pPr>
            <w:r>
              <w:rPr>
                <w:rFonts w:hint="eastAsia" w:ascii="宋体" w:hAnsi="宋体" w:cs="宋体"/>
                <w:color w:val="000000"/>
                <w:kern w:val="0"/>
                <w:szCs w:val="21"/>
              </w:rPr>
              <w:t>中央党校科研部教授、博士生导师洪向华</w:t>
            </w:r>
            <w:r>
              <w:rPr>
                <w:rFonts w:hint="eastAsia" w:ascii="宋体" w:hAnsi="宋体" w:cs="宋体"/>
                <w:color w:val="000000"/>
                <w:kern w:val="0"/>
                <w:szCs w:val="21"/>
                <w:lang w:val="en-US" w:eastAsia="zh-CN"/>
              </w:rPr>
              <w:t>主讲。</w:t>
            </w:r>
          </w:p>
          <w:p>
            <w:pPr>
              <w:spacing w:line="240" w:lineRule="auto"/>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课程内容：</w:t>
            </w:r>
            <w:r>
              <w:rPr>
                <w:rFonts w:hint="eastAsia"/>
                <w:bCs/>
                <w:color w:val="000000" w:themeColor="text1"/>
                <w:szCs w:val="21"/>
                <w:lang w:val="en-US" w:eastAsia="zh-CN"/>
                <w14:textFill>
                  <w14:solidFill>
                    <w14:schemeClr w14:val="tx1"/>
                  </w14:solidFill>
                </w14:textFill>
              </w:rPr>
              <w:t>本课程详细介绍了</w:t>
            </w:r>
            <w:r>
              <w:rPr>
                <w:rFonts w:hint="eastAsia" w:ascii="宋体" w:hAnsi="宋体" w:cs="宋体"/>
                <w:color w:val="000000"/>
                <w:kern w:val="0"/>
                <w:szCs w:val="21"/>
              </w:rPr>
              <w:t>为什么习近平新时代中国特色社会主义思想能够作为党的指导思想</w:t>
            </w:r>
            <w:r>
              <w:rPr>
                <w:rFonts w:hint="eastAsia" w:ascii="宋体" w:hAnsi="宋体" w:cs="宋体"/>
                <w:color w:val="000000"/>
                <w:kern w:val="0"/>
                <w:szCs w:val="21"/>
                <w:lang w:eastAsia="zh-CN"/>
              </w:rPr>
              <w:t>。</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default" w:eastAsia="宋体"/>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0.5</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bCs/>
                <w:color w:val="000000" w:themeColor="text1"/>
                <w:szCs w:val="21"/>
                <w14:textFill>
                  <w14:solidFill>
                    <w14:schemeClr w14:val="tx1"/>
                  </w14:solidFill>
                </w14:textFill>
              </w:rPr>
            </w:pPr>
            <w:r>
              <w:rPr>
                <w:rFonts w:hint="eastAsia"/>
                <w:bCs/>
                <w:color w:val="000000" w:themeColor="text1"/>
                <w:szCs w:val="21"/>
                <w:lang w:eastAsia="zh-CN"/>
                <w14:textFill>
                  <w14:solidFill>
                    <w14:schemeClr w14:val="tx1"/>
                  </w14:solidFill>
                </w14:textFill>
              </w:rPr>
              <w:t>微课程</w:t>
            </w:r>
          </w:p>
        </w:tc>
      </w:tr>
      <w:tr>
        <w:tblPrEx>
          <w:tblLayout w:type="fixed"/>
          <w:tblCellMar>
            <w:top w:w="0" w:type="dxa"/>
            <w:left w:w="108" w:type="dxa"/>
            <w:bottom w:w="0" w:type="dxa"/>
            <w:right w:w="108" w:type="dxa"/>
          </w:tblCellMar>
        </w:tblPrEx>
        <w:trPr>
          <w:trHeight w:val="1699"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eastAsia="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42</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习近平新时代中国特色社会主义思想的提出具有哪些重大意义？（上）</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hint="eastAsia" w:eastAsia="宋体"/>
                <w:bCs/>
                <w:color w:val="000000" w:themeColor="text1"/>
                <w:szCs w:val="21"/>
                <w:lang w:val="en-US" w:eastAsia="zh-CN"/>
                <w14:textFill>
                  <w14:solidFill>
                    <w14:schemeClr w14:val="tx1"/>
                  </w14:solidFill>
                </w14:textFill>
              </w:rPr>
            </w:pPr>
            <w:r>
              <w:rPr>
                <w:rFonts w:hint="eastAsia" w:ascii="宋体" w:hAnsi="宋体" w:cs="宋体"/>
                <w:color w:val="000000"/>
                <w:kern w:val="0"/>
                <w:szCs w:val="21"/>
              </w:rPr>
              <w:t>中央党校科研部教授、博士生导师洪向华</w:t>
            </w:r>
            <w:r>
              <w:rPr>
                <w:rFonts w:hint="eastAsia" w:ascii="宋体" w:hAnsi="宋体" w:cs="宋体"/>
                <w:color w:val="000000"/>
                <w:kern w:val="0"/>
                <w:szCs w:val="21"/>
                <w:lang w:val="en-US" w:eastAsia="zh-CN"/>
              </w:rPr>
              <w:t>主讲。</w:t>
            </w:r>
          </w:p>
          <w:p>
            <w:pPr>
              <w:spacing w:line="240" w:lineRule="auto"/>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课程内容：</w:t>
            </w:r>
            <w:r>
              <w:rPr>
                <w:rFonts w:hint="eastAsia"/>
                <w:bCs/>
                <w:color w:val="000000" w:themeColor="text1"/>
                <w:szCs w:val="21"/>
                <w:lang w:val="en-US" w:eastAsia="zh-CN"/>
                <w14:textFill>
                  <w14:solidFill>
                    <w14:schemeClr w14:val="tx1"/>
                  </w14:solidFill>
                </w14:textFill>
              </w:rPr>
              <w:t>本课程详细介绍了</w:t>
            </w:r>
            <w:r>
              <w:rPr>
                <w:rFonts w:hint="eastAsia" w:ascii="宋体" w:hAnsi="宋体" w:cs="宋体"/>
                <w:color w:val="000000"/>
                <w:kern w:val="0"/>
                <w:szCs w:val="21"/>
              </w:rPr>
              <w:t>习近平新时代中国特色社会主义思想的提出具有哪些重大意义</w:t>
            </w:r>
            <w:r>
              <w:rPr>
                <w:rFonts w:hint="eastAsia" w:ascii="宋体" w:hAnsi="宋体" w:cs="宋体"/>
                <w:color w:val="000000"/>
                <w:kern w:val="0"/>
                <w:szCs w:val="21"/>
                <w:lang w:eastAsia="zh-CN"/>
              </w:rPr>
              <w:t>。</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default" w:eastAsia="宋体"/>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0.5</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bCs/>
                <w:color w:val="000000" w:themeColor="text1"/>
                <w:szCs w:val="21"/>
                <w14:textFill>
                  <w14:solidFill>
                    <w14:schemeClr w14:val="tx1"/>
                  </w14:solidFill>
                </w14:textFill>
              </w:rPr>
            </w:pPr>
            <w:r>
              <w:rPr>
                <w:rFonts w:hint="eastAsia"/>
                <w:bCs/>
                <w:color w:val="000000" w:themeColor="text1"/>
                <w:szCs w:val="21"/>
                <w:lang w:eastAsia="zh-CN"/>
                <w14:textFill>
                  <w14:solidFill>
                    <w14:schemeClr w14:val="tx1"/>
                  </w14:solidFill>
                </w14:textFill>
              </w:rPr>
              <w:t>微课程</w:t>
            </w:r>
          </w:p>
        </w:tc>
      </w:tr>
      <w:tr>
        <w:tblPrEx>
          <w:tblLayout w:type="fixed"/>
          <w:tblCellMar>
            <w:top w:w="0" w:type="dxa"/>
            <w:left w:w="108" w:type="dxa"/>
            <w:bottom w:w="0" w:type="dxa"/>
            <w:right w:w="108" w:type="dxa"/>
          </w:tblCellMar>
        </w:tblPrEx>
        <w:trPr>
          <w:trHeight w:val="1699"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eastAsia="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43</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习近平新时代中国特色社会主义思想的提出具有哪些重大意义？（下）</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hint="eastAsia" w:eastAsia="宋体"/>
                <w:bCs/>
                <w:color w:val="000000" w:themeColor="text1"/>
                <w:szCs w:val="21"/>
                <w:lang w:val="en-US" w:eastAsia="zh-CN"/>
                <w14:textFill>
                  <w14:solidFill>
                    <w14:schemeClr w14:val="tx1"/>
                  </w14:solidFill>
                </w14:textFill>
              </w:rPr>
            </w:pPr>
            <w:r>
              <w:rPr>
                <w:rFonts w:hint="eastAsia" w:ascii="宋体" w:hAnsi="宋体" w:cs="宋体"/>
                <w:color w:val="000000"/>
                <w:kern w:val="0"/>
                <w:szCs w:val="21"/>
              </w:rPr>
              <w:t>中央党校科研部教授、博士生导师洪向华</w:t>
            </w:r>
            <w:r>
              <w:rPr>
                <w:rFonts w:hint="eastAsia" w:ascii="宋体" w:hAnsi="宋体" w:cs="宋体"/>
                <w:color w:val="000000"/>
                <w:kern w:val="0"/>
                <w:szCs w:val="21"/>
                <w:lang w:val="en-US" w:eastAsia="zh-CN"/>
              </w:rPr>
              <w:t>主讲。</w:t>
            </w:r>
          </w:p>
          <w:p>
            <w:pPr>
              <w:spacing w:line="240" w:lineRule="auto"/>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课程内容：</w:t>
            </w:r>
            <w:r>
              <w:rPr>
                <w:rFonts w:hint="eastAsia"/>
                <w:bCs/>
                <w:color w:val="000000" w:themeColor="text1"/>
                <w:szCs w:val="21"/>
                <w:lang w:val="en-US" w:eastAsia="zh-CN"/>
                <w14:textFill>
                  <w14:solidFill>
                    <w14:schemeClr w14:val="tx1"/>
                  </w14:solidFill>
                </w14:textFill>
              </w:rPr>
              <w:t>本课程详细介绍了</w:t>
            </w:r>
            <w:r>
              <w:rPr>
                <w:rFonts w:hint="eastAsia" w:ascii="宋体" w:hAnsi="宋体" w:cs="宋体"/>
                <w:color w:val="000000"/>
                <w:kern w:val="0"/>
                <w:szCs w:val="21"/>
              </w:rPr>
              <w:t>习近平新时代中国特色社会主义思想的提出具有哪些重大意义</w:t>
            </w:r>
            <w:r>
              <w:rPr>
                <w:rFonts w:hint="eastAsia" w:ascii="宋体" w:hAnsi="宋体" w:cs="宋体"/>
                <w:color w:val="000000"/>
                <w:kern w:val="0"/>
                <w:szCs w:val="21"/>
                <w:lang w:eastAsia="zh-CN"/>
              </w:rPr>
              <w:t>。</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default" w:eastAsia="宋体"/>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0.5</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bCs/>
                <w:color w:val="000000" w:themeColor="text1"/>
                <w:szCs w:val="21"/>
                <w14:textFill>
                  <w14:solidFill>
                    <w14:schemeClr w14:val="tx1"/>
                  </w14:solidFill>
                </w14:textFill>
              </w:rPr>
            </w:pPr>
            <w:r>
              <w:rPr>
                <w:rFonts w:hint="eastAsia"/>
                <w:bCs/>
                <w:color w:val="000000" w:themeColor="text1"/>
                <w:szCs w:val="21"/>
                <w:lang w:eastAsia="zh-CN"/>
                <w14:textFill>
                  <w14:solidFill>
                    <w14:schemeClr w14:val="tx1"/>
                  </w14:solidFill>
                </w14:textFill>
              </w:rPr>
              <w:t>微课程</w:t>
            </w:r>
          </w:p>
        </w:tc>
      </w:tr>
      <w:tr>
        <w:tblPrEx>
          <w:tblLayout w:type="fixed"/>
          <w:tblCellMar>
            <w:top w:w="0" w:type="dxa"/>
            <w:left w:w="108" w:type="dxa"/>
            <w:bottom w:w="0" w:type="dxa"/>
            <w:right w:w="108" w:type="dxa"/>
          </w:tblCellMar>
        </w:tblPrEx>
        <w:trPr>
          <w:trHeight w:val="587" w:hRule="atLeast"/>
          <w:jc w:val="center"/>
        </w:trPr>
        <w:tc>
          <w:tcPr>
            <w:tcW w:w="1510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1"/>
              </w:numPr>
              <w:spacing w:before="120" w:beforeLines="50" w:after="120" w:afterLines="50" w:line="240" w:lineRule="auto"/>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时事政治培训课程（共</w:t>
            </w:r>
            <w:r>
              <w:rPr>
                <w:rFonts w:hint="eastAsia"/>
                <w:b/>
                <w:bCs/>
                <w:color w:val="000000" w:themeColor="text1"/>
                <w:szCs w:val="21"/>
                <w:lang w:val="en-US" w:eastAsia="zh-CN"/>
                <w14:textFill>
                  <w14:solidFill>
                    <w14:schemeClr w14:val="tx1"/>
                  </w14:solidFill>
                </w14:textFill>
              </w:rPr>
              <w:t>9</w:t>
            </w:r>
            <w:r>
              <w:rPr>
                <w:rFonts w:hint="eastAsia"/>
                <w:b/>
                <w:bCs/>
                <w:color w:val="000000" w:themeColor="text1"/>
                <w:szCs w:val="21"/>
                <w14:textFill>
                  <w14:solidFill>
                    <w14:schemeClr w14:val="tx1"/>
                  </w14:solidFill>
                </w14:textFill>
              </w:rPr>
              <w:t>门课程、</w:t>
            </w:r>
            <w:r>
              <w:rPr>
                <w:rFonts w:hint="eastAsia"/>
                <w:b/>
                <w:bCs/>
                <w:color w:val="000000" w:themeColor="text1"/>
                <w:szCs w:val="21"/>
                <w:lang w:val="en-US" w:eastAsia="zh-CN"/>
                <w14:textFill>
                  <w14:solidFill>
                    <w14:schemeClr w14:val="tx1"/>
                  </w14:solidFill>
                </w14:textFill>
              </w:rPr>
              <w:t>24.5</w:t>
            </w:r>
            <w:r>
              <w:rPr>
                <w:rFonts w:hint="eastAsia"/>
                <w:b/>
                <w:bCs/>
                <w:color w:val="000000" w:themeColor="text1"/>
                <w:szCs w:val="21"/>
                <w14:textFill>
                  <w14:solidFill>
                    <w14:schemeClr w14:val="tx1"/>
                  </w14:solidFill>
                </w14:textFill>
              </w:rPr>
              <w:t>个学时）</w:t>
            </w:r>
          </w:p>
        </w:tc>
      </w:tr>
      <w:tr>
        <w:tblPrEx>
          <w:tblLayout w:type="fixed"/>
          <w:tblCellMar>
            <w:top w:w="0" w:type="dxa"/>
            <w:left w:w="108" w:type="dxa"/>
            <w:bottom w:w="0" w:type="dxa"/>
            <w:right w:w="108" w:type="dxa"/>
          </w:tblCellMar>
        </w:tblPrEx>
        <w:trPr>
          <w:trHeight w:val="1318"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color w:val="000000" w:themeColor="text1"/>
                <w:kern w:val="0"/>
                <w:sz w:val="22"/>
                <w:szCs w:val="22"/>
                <w14:textFill>
                  <w14:solidFill>
                    <w14:schemeClr w14:val="tx1"/>
                  </w14:solidFill>
                </w14:textFill>
              </w:rPr>
            </w:pPr>
            <w:r>
              <w:rPr>
                <w:rFonts w:hint="eastAsia"/>
                <w:color w:val="000000" w:themeColor="text1"/>
                <w:sz w:val="22"/>
                <w:szCs w:val="22"/>
                <w14:textFill>
                  <w14:solidFill>
                    <w14:schemeClr w14:val="tx1"/>
                  </w14:solidFill>
                </w14:textFill>
              </w:rPr>
              <w:t>1</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持续提升国家治理效能</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hint="eastAsia" w:eastAsia="宋体"/>
                <w:bCs/>
                <w:color w:val="000000" w:themeColor="text1"/>
                <w:szCs w:val="21"/>
                <w:lang w:val="en-US" w:eastAsia="zh-CN"/>
                <w14:textFill>
                  <w14:solidFill>
                    <w14:schemeClr w14:val="tx1"/>
                  </w14:solidFill>
                </w14:textFill>
              </w:rPr>
            </w:pPr>
            <w:r>
              <w:rPr>
                <w:rFonts w:ascii="宋体" w:hAnsi="宋体" w:cs="宋体"/>
                <w:color w:val="000000"/>
                <w:kern w:val="0"/>
                <w:szCs w:val="21"/>
              </w:rPr>
              <w:t>中共中央党校（国家行政学院）应急管理培训中心（中欧应急管理学院）主任、教授马宝成</w:t>
            </w:r>
            <w:r>
              <w:rPr>
                <w:rFonts w:hint="eastAsia" w:ascii="宋体" w:hAnsi="宋体" w:cs="宋体"/>
                <w:color w:val="000000"/>
                <w:kern w:val="0"/>
                <w:szCs w:val="21"/>
                <w:lang w:val="en-US" w:eastAsia="zh-CN"/>
              </w:rPr>
              <w:t>主讲。</w:t>
            </w:r>
          </w:p>
          <w:p>
            <w:pPr>
              <w:spacing w:line="240" w:lineRule="auto"/>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课程内容：</w:t>
            </w:r>
            <w:r>
              <w:rPr>
                <w:rFonts w:ascii="宋体" w:hAnsi="宋体" w:cs="宋体"/>
                <w:color w:val="000000"/>
                <w:kern w:val="0"/>
                <w:szCs w:val="21"/>
              </w:rPr>
              <w:t>健全完善社会主义民主法治、进一步彰显社会公平正义、发挥</w:t>
            </w:r>
            <w:r>
              <w:rPr>
                <w:rFonts w:hint="eastAsia" w:ascii="宋体" w:hAnsi="宋体" w:cs="宋体"/>
                <w:color w:val="000000"/>
                <w:kern w:val="0"/>
                <w:szCs w:val="21"/>
              </w:rPr>
              <w:t>好</w:t>
            </w:r>
            <w:r>
              <w:rPr>
                <w:rFonts w:ascii="宋体" w:hAnsi="宋体" w:cs="宋体"/>
                <w:color w:val="000000"/>
                <w:kern w:val="0"/>
                <w:szCs w:val="21"/>
              </w:rPr>
              <w:t>政府作用等</w:t>
            </w:r>
            <w:r>
              <w:rPr>
                <w:rFonts w:hint="eastAsia" w:ascii="宋体" w:hAnsi="宋体" w:cs="宋体"/>
                <w:color w:val="000000"/>
                <w:kern w:val="0"/>
                <w:szCs w:val="21"/>
              </w:rPr>
              <w:t>。</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3</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bCs/>
                <w:color w:val="000000" w:themeColor="text1"/>
                <w:szCs w:val="21"/>
                <w14:textFill>
                  <w14:solidFill>
                    <w14:schemeClr w14:val="tx1"/>
                  </w14:solidFill>
                </w14:textFill>
              </w:rPr>
            </w:pPr>
          </w:p>
        </w:tc>
      </w:tr>
      <w:tr>
        <w:tblPrEx>
          <w:tblLayout w:type="fixed"/>
          <w:tblCellMar>
            <w:top w:w="0" w:type="dxa"/>
            <w:left w:w="108" w:type="dxa"/>
            <w:bottom w:w="0" w:type="dxa"/>
            <w:right w:w="108" w:type="dxa"/>
          </w:tblCellMar>
        </w:tblPrEx>
        <w:trPr>
          <w:trHeight w:val="1319"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2</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“十四五”经济发展目标与构建新发展格局</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hint="default"/>
                <w:bCs/>
                <w:color w:val="000000" w:themeColor="text1"/>
                <w:szCs w:val="21"/>
                <w:lang w:val="en-US"/>
                <w14:textFill>
                  <w14:solidFill>
                    <w14:schemeClr w14:val="tx1"/>
                  </w14:solidFill>
                </w14:textFill>
              </w:rPr>
            </w:pPr>
            <w:r>
              <w:rPr>
                <w:rFonts w:hint="eastAsia" w:ascii="宋体" w:hAnsi="宋体" w:eastAsia="宋体" w:cs="宋体"/>
                <w:i w:val="0"/>
                <w:color w:val="000000"/>
                <w:kern w:val="0"/>
                <w:sz w:val="22"/>
                <w:szCs w:val="22"/>
                <w:u w:val="none"/>
                <w:lang w:val="en-US" w:eastAsia="zh-CN" w:bidi="ar"/>
              </w:rPr>
              <w:t>中国财政科学研究院研究员张鹏</w:t>
            </w:r>
            <w:r>
              <w:rPr>
                <w:rFonts w:hint="eastAsia" w:ascii="宋体" w:hAnsi="宋体" w:cs="宋体"/>
                <w:i w:val="0"/>
                <w:color w:val="000000"/>
                <w:kern w:val="0"/>
                <w:sz w:val="22"/>
                <w:szCs w:val="22"/>
                <w:u w:val="none"/>
                <w:lang w:val="en-US" w:eastAsia="zh-CN" w:bidi="ar"/>
              </w:rPr>
              <w:t>主讲。</w:t>
            </w:r>
          </w:p>
          <w:p>
            <w:pPr>
              <w:spacing w:line="240" w:lineRule="auto"/>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课程内容：</w:t>
            </w:r>
            <w:r>
              <w:rPr>
                <w:rFonts w:hint="eastAsia" w:ascii="宋体" w:hAnsi="宋体" w:cs="宋体"/>
                <w:color w:val="000000"/>
                <w:kern w:val="0"/>
                <w:szCs w:val="21"/>
              </w:rPr>
              <w:t>解读“十四五”时期我国经济发展目标，如何建立现代财税金融体制、加快构建新发展格局。</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3</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eastAsia="宋体"/>
                <w:bCs/>
                <w:color w:val="000000" w:themeColor="text1"/>
                <w:szCs w:val="21"/>
                <w:lang w:eastAsia="zh-CN"/>
                <w14:textFill>
                  <w14:solidFill>
                    <w14:schemeClr w14:val="tx1"/>
                  </w14:solidFill>
                </w14:textFill>
              </w:rPr>
            </w:pPr>
          </w:p>
        </w:tc>
      </w:tr>
      <w:tr>
        <w:tblPrEx>
          <w:tblLayout w:type="fixed"/>
          <w:tblCellMar>
            <w:top w:w="0" w:type="dxa"/>
            <w:left w:w="108" w:type="dxa"/>
            <w:bottom w:w="0" w:type="dxa"/>
            <w:right w:w="108" w:type="dxa"/>
          </w:tblCellMar>
        </w:tblPrEx>
        <w:trPr>
          <w:trHeight w:val="1364"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3</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开启全面建设社会主义现代化国家新征程</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hint="eastAsia"/>
                <w:bCs/>
                <w:color w:val="000000" w:themeColor="text1"/>
                <w:szCs w:val="21"/>
                <w14:textFill>
                  <w14:solidFill>
                    <w14:schemeClr w14:val="tx1"/>
                  </w14:solidFill>
                </w14:textFill>
              </w:rPr>
            </w:pPr>
            <w:r>
              <w:rPr>
                <w:rFonts w:hint="eastAsia" w:ascii="宋体" w:hAnsi="宋体" w:eastAsia="宋体" w:cs="宋体"/>
                <w:i w:val="0"/>
                <w:color w:val="000000"/>
                <w:kern w:val="0"/>
                <w:sz w:val="22"/>
                <w:szCs w:val="22"/>
                <w:u w:val="none"/>
                <w:lang w:val="en-US" w:eastAsia="zh-CN" w:bidi="ar"/>
              </w:rPr>
              <w:t>中共中央党校（国家行政学院）政治和法律教研部教授、博士生导师任进</w:t>
            </w:r>
            <w:r>
              <w:rPr>
                <w:rFonts w:hint="eastAsia" w:ascii="宋体" w:hAnsi="宋体" w:cs="宋体"/>
                <w:i w:val="0"/>
                <w:color w:val="000000"/>
                <w:kern w:val="0"/>
                <w:sz w:val="22"/>
                <w:szCs w:val="22"/>
                <w:u w:val="none"/>
                <w:lang w:val="en-US" w:eastAsia="zh-CN" w:bidi="ar"/>
              </w:rPr>
              <w:t>。</w:t>
            </w:r>
          </w:p>
          <w:p>
            <w:pPr>
              <w:spacing w:line="240" w:lineRule="auto"/>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课程内容：</w:t>
            </w:r>
            <w:r>
              <w:rPr>
                <w:rFonts w:hint="eastAsia" w:ascii="宋体" w:hAnsi="宋体" w:cs="宋体"/>
                <w:color w:val="000000"/>
                <w:kern w:val="0"/>
                <w:szCs w:val="21"/>
              </w:rPr>
              <w:t>解读党的十九届五中全会的召开和重大意义，“十四五”时期发展环境、基本原则和规划《建议》的核心要义，“十四五”时期经济社会发展主要目标和重点任务。</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3</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bCs/>
                <w:color w:val="000000" w:themeColor="text1"/>
                <w:szCs w:val="21"/>
                <w14:textFill>
                  <w14:solidFill>
                    <w14:schemeClr w14:val="tx1"/>
                  </w14:solidFill>
                </w14:textFill>
              </w:rPr>
            </w:pPr>
          </w:p>
        </w:tc>
      </w:tr>
      <w:tr>
        <w:tblPrEx>
          <w:tblLayout w:type="fixed"/>
          <w:tblCellMar>
            <w:top w:w="0" w:type="dxa"/>
            <w:left w:w="108" w:type="dxa"/>
            <w:bottom w:w="0" w:type="dxa"/>
            <w:right w:w="108" w:type="dxa"/>
          </w:tblCellMar>
        </w:tblPrEx>
        <w:trPr>
          <w:trHeight w:val="1686"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4</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区域经济高质量协调发展基本思路——“十四五”我国区域经济发展总体战略</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国务院发展研究中心发展战略和区域经济研究部第一研究室主任刘勇主讲。</w:t>
            </w:r>
          </w:p>
          <w:p>
            <w:pPr>
              <w:spacing w:line="240" w:lineRule="auto"/>
              <w:rPr>
                <w:bCs/>
                <w:color w:val="000000" w:themeColor="text1"/>
                <w:szCs w:val="21"/>
                <w14:textFill>
                  <w14:solidFill>
                    <w14:schemeClr w14:val="tx1"/>
                  </w14:solidFill>
                </w14:textFill>
              </w:rPr>
            </w:pPr>
            <w:r>
              <w:rPr>
                <w:rFonts w:hint="eastAsia" w:ascii="宋体" w:hAnsi="宋体" w:cs="宋体"/>
                <w:color w:val="000000"/>
                <w:kern w:val="0"/>
                <w:szCs w:val="21"/>
              </w:rPr>
              <w:t>课程内容：</w:t>
            </w:r>
            <w:r>
              <w:rPr>
                <w:rFonts w:ascii="宋体" w:hAnsi="宋体" w:cs="宋体"/>
                <w:color w:val="000000"/>
                <w:kern w:val="0"/>
                <w:szCs w:val="21"/>
              </w:rPr>
              <w:t>进入新时代，我国经济已由高速增长阶段转向高质量发展阶段。要推动经济的高质量发展，就需要推动区域经济协调发展。本课程阐述了区域经济高质量协调发展是现代化建设的必由之路，根据我国区域经济高质量协调发展的目标和任务，给出了促进区域经济高质量协调发展的政策措施。</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default" w:eastAsia="宋体"/>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2.5</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bCs/>
                <w:color w:val="000000" w:themeColor="text1"/>
                <w:szCs w:val="21"/>
                <w14:textFill>
                  <w14:solidFill>
                    <w14:schemeClr w14:val="tx1"/>
                  </w14:solidFill>
                </w14:textFill>
              </w:rPr>
            </w:pPr>
          </w:p>
        </w:tc>
      </w:tr>
      <w:tr>
        <w:tblPrEx>
          <w:tblLayout w:type="fixed"/>
          <w:tblCellMar>
            <w:top w:w="0" w:type="dxa"/>
            <w:left w:w="108" w:type="dxa"/>
            <w:bottom w:w="0" w:type="dxa"/>
            <w:right w:w="108" w:type="dxa"/>
          </w:tblCellMar>
        </w:tblPrEx>
        <w:trPr>
          <w:trHeight w:val="1651"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5</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充分认识和发挥人民民主的全过程优势</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hint="eastAsia" w:ascii="宋体" w:hAnsi="宋体" w:eastAsia="宋体" w:cs="宋体"/>
                <w:color w:val="000000"/>
                <w:kern w:val="0"/>
                <w:szCs w:val="21"/>
                <w:lang w:eastAsia="zh-CN"/>
              </w:rPr>
            </w:pPr>
            <w:r>
              <w:rPr>
                <w:rFonts w:ascii="宋体" w:hAnsi="宋体" w:cs="宋体"/>
                <w:color w:val="000000"/>
                <w:kern w:val="0"/>
                <w:szCs w:val="21"/>
              </w:rPr>
              <w:t>中共中央党校（国家行政学院）</w:t>
            </w:r>
            <w:r>
              <w:rPr>
                <w:rFonts w:hint="eastAsia" w:ascii="宋体" w:hAnsi="宋体" w:cs="宋体"/>
                <w:color w:val="000000"/>
                <w:kern w:val="0"/>
                <w:szCs w:val="21"/>
                <w:lang w:eastAsia="zh-CN"/>
              </w:rPr>
              <w:t>政治和法律教研部副教授孙培军主讲。</w:t>
            </w:r>
          </w:p>
          <w:p>
            <w:pPr>
              <w:spacing w:line="240" w:lineRule="auto"/>
              <w:rPr>
                <w:bCs/>
                <w:color w:val="000000" w:themeColor="text1"/>
                <w:szCs w:val="21"/>
                <w14:textFill>
                  <w14:solidFill>
                    <w14:schemeClr w14:val="tx1"/>
                  </w14:solidFill>
                </w14:textFill>
              </w:rPr>
            </w:pPr>
            <w:r>
              <w:rPr>
                <w:rFonts w:hint="eastAsia" w:ascii="宋体" w:hAnsi="宋体" w:cs="宋体"/>
                <w:color w:val="000000"/>
                <w:kern w:val="0"/>
                <w:szCs w:val="21"/>
              </w:rPr>
              <w:t>课程内容：</w:t>
            </w:r>
            <w:r>
              <w:rPr>
                <w:rFonts w:ascii="宋体" w:hAnsi="宋体" w:cs="宋体"/>
                <w:color w:val="000000"/>
                <w:kern w:val="0"/>
                <w:szCs w:val="21"/>
              </w:rPr>
              <w:t>习近平总书记指出，我们走的是一条中国特色社会主义政治发展道路，人民民主是一种全过程的民主，所有的重大立法决策都是依照程序、经过民主酝酿，通过科学决策、民主决策产生的。本课程重点从注重形式程序的闭路循环、强调实质内容的全面有序两个方面进行了讲解。</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2</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bCs/>
                <w:color w:val="000000" w:themeColor="text1"/>
                <w:szCs w:val="21"/>
                <w14:textFill>
                  <w14:solidFill>
                    <w14:schemeClr w14:val="tx1"/>
                  </w14:solidFill>
                </w14:textFill>
              </w:rPr>
            </w:pPr>
          </w:p>
        </w:tc>
      </w:tr>
      <w:tr>
        <w:tblPrEx>
          <w:tblLayout w:type="fixed"/>
          <w:tblCellMar>
            <w:top w:w="0" w:type="dxa"/>
            <w:left w:w="108" w:type="dxa"/>
            <w:bottom w:w="0" w:type="dxa"/>
            <w:right w:w="108" w:type="dxa"/>
          </w:tblCellMar>
        </w:tblPrEx>
        <w:trPr>
          <w:trHeight w:val="1349"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color w:val="000000" w:themeColor="text1"/>
                <w:kern w:val="0"/>
                <w:sz w:val="22"/>
                <w:szCs w:val="22"/>
                <w14:textFill>
                  <w14:solidFill>
                    <w14:schemeClr w14:val="tx1"/>
                  </w14:solidFill>
                </w14:textFill>
              </w:rPr>
            </w:pPr>
            <w:r>
              <w:rPr>
                <w:color w:val="000000" w:themeColor="text1"/>
                <w:sz w:val="22"/>
                <w:szCs w:val="22"/>
                <w14:textFill>
                  <w14:solidFill>
                    <w14:schemeClr w14:val="tx1"/>
                  </w14:solidFill>
                </w14:textFill>
              </w:rPr>
              <w:t>6</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加强和创新社会治理</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hint="eastAsia" w:ascii="宋体" w:hAnsi="宋体" w:eastAsia="宋体" w:cs="宋体"/>
                <w:color w:val="000000"/>
                <w:kern w:val="0"/>
                <w:szCs w:val="21"/>
                <w:lang w:eastAsia="zh-CN"/>
              </w:rPr>
            </w:pPr>
            <w:r>
              <w:rPr>
                <w:rFonts w:ascii="宋体" w:hAnsi="宋体" w:cs="宋体"/>
                <w:color w:val="000000"/>
                <w:kern w:val="0"/>
                <w:szCs w:val="21"/>
              </w:rPr>
              <w:t>中共中央党校（国家行政学院）</w:t>
            </w:r>
            <w:r>
              <w:rPr>
                <w:rFonts w:hint="eastAsia" w:ascii="宋体" w:hAnsi="宋体" w:cs="宋体"/>
                <w:color w:val="000000"/>
                <w:kern w:val="0"/>
                <w:szCs w:val="21"/>
                <w:lang w:eastAsia="zh-CN"/>
              </w:rPr>
              <w:t>社会和生态文明教研部二级教授谢志强主讲。</w:t>
            </w:r>
          </w:p>
          <w:p>
            <w:pPr>
              <w:spacing w:line="240" w:lineRule="auto"/>
              <w:rPr>
                <w:bCs/>
                <w:color w:val="000000" w:themeColor="text1"/>
                <w:szCs w:val="21"/>
                <w14:textFill>
                  <w14:solidFill>
                    <w14:schemeClr w14:val="tx1"/>
                  </w14:solidFill>
                </w14:textFill>
              </w:rPr>
            </w:pPr>
            <w:r>
              <w:rPr>
                <w:rFonts w:hint="eastAsia" w:ascii="宋体" w:hAnsi="宋体" w:cs="宋体"/>
                <w:color w:val="000000"/>
                <w:kern w:val="0"/>
                <w:szCs w:val="21"/>
              </w:rPr>
              <w:t>课程内容：由于经济增长带来的发展问题和社会秩序问题日益突出，必须加强和创新社会治理。本课程梳理了社会治理形成的历史背景与发展轨迹，提出了社会治理的最高境界是社会善治的观点</w:t>
            </w:r>
            <w:r>
              <w:rPr>
                <w:rFonts w:ascii="Arial" w:hAnsi="Arial" w:cs="Arial"/>
                <w:sz w:val="20"/>
                <w:szCs w:val="20"/>
              </w:rPr>
              <w:t>。</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default" w:eastAsia="宋体"/>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2</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bCs/>
                <w:color w:val="000000" w:themeColor="text1"/>
                <w:szCs w:val="21"/>
                <w14:textFill>
                  <w14:solidFill>
                    <w14:schemeClr w14:val="tx1"/>
                  </w14:solidFill>
                </w14:textFill>
              </w:rPr>
            </w:pPr>
          </w:p>
        </w:tc>
      </w:tr>
      <w:tr>
        <w:tblPrEx>
          <w:tblLayout w:type="fixed"/>
          <w:tblCellMar>
            <w:top w:w="0" w:type="dxa"/>
            <w:left w:w="108" w:type="dxa"/>
            <w:bottom w:w="0" w:type="dxa"/>
            <w:right w:w="108" w:type="dxa"/>
          </w:tblCellMar>
        </w:tblPrEx>
        <w:trPr>
          <w:trHeight w:val="1122"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7</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推动中国积极参与全球治理体系建设和改革</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hint="eastAsia" w:eastAsia="宋体"/>
                <w:bCs/>
                <w:color w:val="000000" w:themeColor="text1"/>
                <w:szCs w:val="21"/>
                <w:lang w:val="en-US" w:eastAsia="zh-CN"/>
                <w14:textFill>
                  <w14:solidFill>
                    <w14:schemeClr w14:val="tx1"/>
                  </w14:solidFill>
                </w14:textFill>
              </w:rPr>
            </w:pPr>
            <w:r>
              <w:rPr>
                <w:rFonts w:ascii="宋体" w:hAnsi="宋体" w:cs="宋体"/>
                <w:color w:val="000000"/>
                <w:kern w:val="0"/>
                <w:szCs w:val="21"/>
              </w:rPr>
              <w:t>中共中央党校（国家行政学院）国际战略研究院副教授熊洁</w:t>
            </w:r>
            <w:r>
              <w:rPr>
                <w:rFonts w:hint="eastAsia" w:ascii="宋体" w:hAnsi="宋体" w:cs="宋体"/>
                <w:color w:val="000000"/>
                <w:kern w:val="0"/>
                <w:szCs w:val="21"/>
                <w:lang w:val="en-US" w:eastAsia="zh-CN"/>
              </w:rPr>
              <w:t>主讲。</w:t>
            </w:r>
          </w:p>
          <w:p>
            <w:pPr>
              <w:spacing w:line="240" w:lineRule="auto"/>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课程内容：</w:t>
            </w:r>
            <w:r>
              <w:rPr>
                <w:rFonts w:ascii="宋体" w:hAnsi="宋体" w:cs="宋体"/>
                <w:color w:val="000000"/>
                <w:kern w:val="0"/>
                <w:szCs w:val="21"/>
              </w:rPr>
              <w:t>分析现行全球治理体系的挑战，提出要推动中国积极参与全球治理体系建设与改革。</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default" w:eastAsia="宋体"/>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3</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bCs/>
                <w:color w:val="000000" w:themeColor="text1"/>
                <w:szCs w:val="21"/>
                <w14:textFill>
                  <w14:solidFill>
                    <w14:schemeClr w14:val="tx1"/>
                  </w14:solidFill>
                </w14:textFill>
              </w:rPr>
            </w:pPr>
          </w:p>
        </w:tc>
      </w:tr>
      <w:tr>
        <w:tblPrEx>
          <w:tblLayout w:type="fixed"/>
          <w:tblCellMar>
            <w:top w:w="0" w:type="dxa"/>
            <w:left w:w="108" w:type="dxa"/>
            <w:bottom w:w="0" w:type="dxa"/>
            <w:right w:w="108" w:type="dxa"/>
          </w:tblCellMar>
        </w:tblPrEx>
        <w:trPr>
          <w:trHeight w:val="892"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8</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实行高水平对外开放，积极参与全球经济治理体系改革，开拓合作共赢新局面</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hint="default"/>
                <w:bCs/>
                <w:color w:val="000000" w:themeColor="text1"/>
                <w:szCs w:val="21"/>
                <w:lang w:val="en-US"/>
                <w14:textFill>
                  <w14:solidFill>
                    <w14:schemeClr w14:val="tx1"/>
                  </w14:solidFill>
                </w14:textFill>
              </w:rPr>
            </w:pPr>
            <w:r>
              <w:rPr>
                <w:rFonts w:hint="eastAsia" w:ascii="宋体" w:hAnsi="宋体" w:eastAsia="宋体" w:cs="宋体"/>
                <w:i w:val="0"/>
                <w:color w:val="000000"/>
                <w:kern w:val="0"/>
                <w:sz w:val="22"/>
                <w:szCs w:val="22"/>
                <w:u w:val="none"/>
                <w:lang w:val="en-US" w:eastAsia="zh-CN" w:bidi="ar"/>
              </w:rPr>
              <w:t>商务部国际贸易经济合作研究院区域经济合作研究中心主任张建平</w:t>
            </w:r>
            <w:r>
              <w:rPr>
                <w:rFonts w:hint="eastAsia" w:ascii="宋体" w:hAnsi="宋体" w:cs="宋体"/>
                <w:i w:val="0"/>
                <w:color w:val="000000"/>
                <w:kern w:val="0"/>
                <w:sz w:val="22"/>
                <w:szCs w:val="22"/>
                <w:u w:val="none"/>
                <w:lang w:val="en-US" w:eastAsia="zh-CN" w:bidi="ar"/>
              </w:rPr>
              <w:t>主讲。</w:t>
            </w:r>
          </w:p>
          <w:p>
            <w:pPr>
              <w:spacing w:line="240" w:lineRule="auto"/>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课程内容：</w:t>
            </w:r>
            <w:r>
              <w:rPr>
                <w:rFonts w:hint="eastAsia" w:ascii="宋体" w:hAnsi="宋体" w:cs="宋体"/>
                <w:color w:val="000000"/>
                <w:kern w:val="0"/>
                <w:szCs w:val="21"/>
              </w:rPr>
              <w:t>详细解读“十四五”期间如何坚持实施更大范围、更宽领域、更深层次对外开放。</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default" w:eastAsia="宋体"/>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3</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bCs/>
                <w:color w:val="000000" w:themeColor="text1"/>
                <w:szCs w:val="21"/>
                <w14:textFill>
                  <w14:solidFill>
                    <w14:schemeClr w14:val="tx1"/>
                  </w14:solidFill>
                </w14:textFill>
              </w:rPr>
            </w:pPr>
          </w:p>
        </w:tc>
      </w:tr>
      <w:tr>
        <w:tblPrEx>
          <w:tblLayout w:type="fixed"/>
          <w:tblCellMar>
            <w:top w:w="0" w:type="dxa"/>
            <w:left w:w="108" w:type="dxa"/>
            <w:bottom w:w="0" w:type="dxa"/>
            <w:right w:w="108" w:type="dxa"/>
          </w:tblCellMar>
        </w:tblPrEx>
        <w:trPr>
          <w:trHeight w:val="1273"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9</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实现富国和强军相统一，加快国防和军队现代化，确保2027年实现建军奋斗目标</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hint="default"/>
                <w:bCs/>
                <w:color w:val="000000" w:themeColor="text1"/>
                <w:szCs w:val="21"/>
                <w:lang w:val="en-US"/>
                <w14:textFill>
                  <w14:solidFill>
                    <w14:schemeClr w14:val="tx1"/>
                  </w14:solidFill>
                </w14:textFill>
              </w:rPr>
            </w:pPr>
            <w:r>
              <w:rPr>
                <w:rFonts w:hint="eastAsia" w:ascii="宋体" w:hAnsi="宋体" w:eastAsia="宋体" w:cs="宋体"/>
                <w:i w:val="0"/>
                <w:color w:val="000000"/>
                <w:kern w:val="0"/>
                <w:sz w:val="22"/>
                <w:szCs w:val="22"/>
                <w:u w:val="none"/>
                <w:lang w:val="en-US" w:eastAsia="zh-CN" w:bidi="ar"/>
              </w:rPr>
              <w:t>国防大学战略研究所原所长/海军少将杨毅</w:t>
            </w:r>
            <w:r>
              <w:rPr>
                <w:rFonts w:hint="eastAsia" w:ascii="宋体" w:hAnsi="宋体" w:cs="宋体"/>
                <w:i w:val="0"/>
                <w:color w:val="000000"/>
                <w:kern w:val="0"/>
                <w:sz w:val="22"/>
                <w:szCs w:val="22"/>
                <w:u w:val="none"/>
                <w:lang w:val="en-US" w:eastAsia="zh-CN" w:bidi="ar"/>
              </w:rPr>
              <w:t>主讲。</w:t>
            </w:r>
          </w:p>
          <w:p>
            <w:pPr>
              <w:widowControl/>
              <w:spacing w:line="240" w:lineRule="auto"/>
              <w:jc w:val="left"/>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课程内容：</w:t>
            </w:r>
            <w:r>
              <w:rPr>
                <w:rFonts w:hint="eastAsia" w:ascii="宋体" w:hAnsi="宋体" w:cs="宋体"/>
                <w:color w:val="000000"/>
                <w:kern w:val="0"/>
                <w:szCs w:val="21"/>
              </w:rPr>
              <w:t>全方位阐述如何在“十四五”时期在更广范围、更高层次、更深程度上将国防和军队建设融入国家经济社会发展体系中，怎样实现“国防和军队现代化迈出重大步伐”，确保实现建军百年奋斗目标。</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default" w:eastAsia="宋体"/>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3</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bCs/>
                <w:color w:val="000000" w:themeColor="text1"/>
                <w:szCs w:val="21"/>
                <w14:textFill>
                  <w14:solidFill>
                    <w14:schemeClr w14:val="tx1"/>
                  </w14:solidFill>
                </w14:textFill>
              </w:rPr>
            </w:pPr>
          </w:p>
        </w:tc>
      </w:tr>
      <w:tr>
        <w:tblPrEx>
          <w:tblLayout w:type="fixed"/>
          <w:tblCellMar>
            <w:top w:w="0" w:type="dxa"/>
            <w:left w:w="108" w:type="dxa"/>
            <w:bottom w:w="0" w:type="dxa"/>
            <w:right w:w="108" w:type="dxa"/>
          </w:tblCellMar>
        </w:tblPrEx>
        <w:trPr>
          <w:trHeight w:val="612" w:hRule="atLeast"/>
          <w:jc w:val="center"/>
        </w:trPr>
        <w:tc>
          <w:tcPr>
            <w:tcW w:w="1510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before="120" w:beforeLines="50" w:after="120" w:afterLines="50" w:line="240" w:lineRule="auto"/>
              <w:rPr>
                <w:b/>
                <w:bCs/>
                <w:color w:val="000000" w:themeColor="text1"/>
                <w:szCs w:val="21"/>
                <w14:textFill>
                  <w14:solidFill>
                    <w14:schemeClr w14:val="tx1"/>
                  </w14:solidFill>
                </w14:textFill>
              </w:rPr>
            </w:pPr>
            <w:r>
              <w:rPr>
                <w:rFonts w:hint="eastAsia"/>
                <w:b/>
                <w:bCs/>
                <w:color w:val="000000" w:themeColor="text1"/>
                <w:szCs w:val="21"/>
                <w:lang w:val="en-US" w:eastAsia="zh-CN"/>
                <w14:textFill>
                  <w14:solidFill>
                    <w14:schemeClr w14:val="tx1"/>
                  </w14:solidFill>
                </w14:textFill>
              </w:rPr>
              <w:t>三</w:t>
            </w:r>
            <w:r>
              <w:rPr>
                <w:rFonts w:hint="eastAsia"/>
                <w:b/>
                <w:bCs/>
                <w:color w:val="000000" w:themeColor="text1"/>
                <w:szCs w:val="21"/>
                <w14:textFill>
                  <w14:solidFill>
                    <w14:schemeClr w14:val="tx1"/>
                  </w14:solidFill>
                </w14:textFill>
              </w:rPr>
              <w:t>、公共管理培训课程（共</w:t>
            </w:r>
            <w:r>
              <w:rPr>
                <w:rFonts w:hint="eastAsia"/>
                <w:b/>
                <w:bCs/>
                <w:color w:val="000000" w:themeColor="text1"/>
                <w:szCs w:val="21"/>
                <w:lang w:val="en-US" w:eastAsia="zh-CN"/>
                <w14:textFill>
                  <w14:solidFill>
                    <w14:schemeClr w14:val="tx1"/>
                  </w14:solidFill>
                </w14:textFill>
              </w:rPr>
              <w:t>18</w:t>
            </w:r>
            <w:r>
              <w:rPr>
                <w:rFonts w:hint="eastAsia"/>
                <w:b/>
                <w:bCs/>
                <w:color w:val="000000" w:themeColor="text1"/>
                <w:szCs w:val="21"/>
                <w14:textFill>
                  <w14:solidFill>
                    <w14:schemeClr w14:val="tx1"/>
                  </w14:solidFill>
                </w14:textFill>
              </w:rPr>
              <w:t>门课程、</w:t>
            </w:r>
            <w:r>
              <w:rPr>
                <w:rFonts w:hint="eastAsia"/>
                <w:b/>
                <w:bCs/>
                <w:color w:val="000000" w:themeColor="text1"/>
                <w:szCs w:val="21"/>
                <w:lang w:val="en-US" w:eastAsia="zh-CN"/>
                <w14:textFill>
                  <w14:solidFill>
                    <w14:schemeClr w14:val="tx1"/>
                  </w14:solidFill>
                </w14:textFill>
              </w:rPr>
              <w:t>28</w:t>
            </w:r>
            <w:r>
              <w:rPr>
                <w:rFonts w:hint="eastAsia"/>
                <w:b/>
                <w:bCs/>
                <w:color w:val="000000" w:themeColor="text1"/>
                <w:szCs w:val="21"/>
                <w14:textFill>
                  <w14:solidFill>
                    <w14:schemeClr w14:val="tx1"/>
                  </w14:solidFill>
                </w14:textFill>
              </w:rPr>
              <w:t>个学时，</w:t>
            </w:r>
            <w:r>
              <w:rPr>
                <w:b/>
                <w:bCs/>
                <w:color w:val="000000" w:themeColor="text1"/>
                <w:szCs w:val="21"/>
                <w14:textFill>
                  <w14:solidFill>
                    <w14:schemeClr w14:val="tx1"/>
                  </w14:solidFill>
                </w14:textFill>
              </w:rPr>
              <w:t>其中微课程</w:t>
            </w:r>
            <w:r>
              <w:rPr>
                <w:rFonts w:hint="eastAsia"/>
                <w:b/>
                <w:bCs/>
                <w:color w:val="000000" w:themeColor="text1"/>
                <w:szCs w:val="21"/>
                <w:lang w:val="en-US" w:eastAsia="zh-CN"/>
                <w14:textFill>
                  <w14:solidFill>
                    <w14:schemeClr w14:val="tx1"/>
                  </w14:solidFill>
                </w14:textFill>
              </w:rPr>
              <w:t>10</w:t>
            </w:r>
            <w:r>
              <w:rPr>
                <w:rFonts w:hint="eastAsia"/>
                <w:b/>
                <w:bCs/>
                <w:color w:val="000000" w:themeColor="text1"/>
                <w:szCs w:val="21"/>
                <w14:textFill>
                  <w14:solidFill>
                    <w14:schemeClr w14:val="tx1"/>
                  </w14:solidFill>
                </w14:textFill>
              </w:rPr>
              <w:t>门）</w:t>
            </w:r>
          </w:p>
        </w:tc>
      </w:tr>
      <w:tr>
        <w:tblPrEx>
          <w:tblLayout w:type="fixed"/>
          <w:tblCellMar>
            <w:top w:w="0" w:type="dxa"/>
            <w:left w:w="108" w:type="dxa"/>
            <w:bottom w:w="0" w:type="dxa"/>
            <w:right w:w="108" w:type="dxa"/>
          </w:tblCellMar>
        </w:tblPrEx>
        <w:trPr>
          <w:trHeight w:val="1197"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color w:val="000000" w:themeColor="text1"/>
                <w:kern w:val="0"/>
                <w:sz w:val="22"/>
                <w:szCs w:val="22"/>
                <w14:textFill>
                  <w14:solidFill>
                    <w14:schemeClr w14:val="tx1"/>
                  </w14:solidFill>
                </w14:textFill>
              </w:rPr>
            </w:pPr>
            <w:r>
              <w:rPr>
                <w:rFonts w:hint="eastAsia"/>
                <w:color w:val="000000" w:themeColor="text1"/>
                <w:sz w:val="22"/>
                <w:szCs w:val="22"/>
                <w14:textFill>
                  <w14:solidFill>
                    <w14:schemeClr w14:val="tx1"/>
                  </w14:solidFill>
                </w14:textFill>
              </w:rPr>
              <w:t>1</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底线思维</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hint="eastAsia" w:ascii="宋体" w:hAnsi="宋体" w:cs="宋体"/>
                <w:color w:val="000000"/>
                <w:kern w:val="0"/>
                <w:szCs w:val="21"/>
                <w:lang w:val="en-US" w:eastAsia="zh-CN"/>
              </w:rPr>
            </w:pPr>
            <w:r>
              <w:rPr>
                <w:rFonts w:hint="eastAsia" w:ascii="宋体" w:hAnsi="宋体" w:cs="宋体"/>
                <w:color w:val="000000"/>
                <w:kern w:val="0"/>
                <w:szCs w:val="21"/>
              </w:rPr>
              <w:t>中共中央党校（国家行政学院）社会和文化教研部教授李兴国</w:t>
            </w:r>
            <w:r>
              <w:rPr>
                <w:rFonts w:hint="eastAsia" w:ascii="宋体" w:hAnsi="宋体" w:cs="宋体"/>
                <w:color w:val="000000"/>
                <w:kern w:val="0"/>
                <w:szCs w:val="21"/>
                <w:lang w:val="en-US" w:eastAsia="zh-CN"/>
              </w:rPr>
              <w:t>主讲。</w:t>
            </w:r>
          </w:p>
          <w:p>
            <w:pPr>
              <w:spacing w:line="240" w:lineRule="auto"/>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课程内容：</w:t>
            </w:r>
            <w:r>
              <w:rPr>
                <w:rFonts w:hint="eastAsia" w:ascii="宋体" w:hAnsi="宋体" w:cs="宋体"/>
                <w:color w:val="000000"/>
                <w:kern w:val="0"/>
                <w:szCs w:val="21"/>
              </w:rPr>
              <w:t>讲解领导干部如何善于运用底线思维方法，凡事从坏处准备，努力争取最好的结果。</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default" w:eastAsia="宋体"/>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4.5</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bCs/>
                <w:color w:val="000000" w:themeColor="text1"/>
                <w:szCs w:val="21"/>
                <w14:textFill>
                  <w14:solidFill>
                    <w14:schemeClr w14:val="tx1"/>
                  </w14:solidFill>
                </w14:textFill>
              </w:rPr>
            </w:pPr>
          </w:p>
        </w:tc>
      </w:tr>
      <w:tr>
        <w:tblPrEx>
          <w:tblLayout w:type="fixed"/>
          <w:tblCellMar>
            <w:top w:w="0" w:type="dxa"/>
            <w:left w:w="108" w:type="dxa"/>
            <w:bottom w:w="0" w:type="dxa"/>
            <w:right w:w="108" w:type="dxa"/>
          </w:tblCellMar>
        </w:tblPrEx>
        <w:trPr>
          <w:trHeight w:val="1456"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2</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以制度型开放促进高质量发展</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hint="default"/>
                <w:bCs/>
                <w:color w:val="000000" w:themeColor="text1"/>
                <w:szCs w:val="21"/>
                <w:lang w:val="en-US"/>
                <w14:textFill>
                  <w14:solidFill>
                    <w14:schemeClr w14:val="tx1"/>
                  </w14:solidFill>
                </w14:textFill>
              </w:rPr>
            </w:pPr>
            <w:r>
              <w:rPr>
                <w:rFonts w:hint="eastAsia" w:ascii="宋体" w:hAnsi="宋体" w:eastAsia="宋体" w:cs="宋体"/>
                <w:i w:val="0"/>
                <w:color w:val="000000"/>
                <w:kern w:val="0"/>
                <w:sz w:val="22"/>
                <w:szCs w:val="22"/>
                <w:u w:val="none"/>
                <w:lang w:val="en-US" w:eastAsia="zh-CN" w:bidi="ar"/>
              </w:rPr>
              <w:t>商务部国际贸易经济合作研究院区域经济合作研究中心主任张建平</w:t>
            </w:r>
            <w:r>
              <w:rPr>
                <w:rFonts w:hint="eastAsia" w:ascii="宋体" w:hAnsi="宋体" w:cs="宋体"/>
                <w:i w:val="0"/>
                <w:color w:val="000000"/>
                <w:kern w:val="0"/>
                <w:sz w:val="22"/>
                <w:szCs w:val="22"/>
                <w:u w:val="none"/>
                <w:lang w:val="en-US" w:eastAsia="zh-CN" w:bidi="ar"/>
              </w:rPr>
              <w:t>主讲。</w:t>
            </w:r>
          </w:p>
          <w:p>
            <w:pPr>
              <w:spacing w:line="240" w:lineRule="auto"/>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课程内容：</w:t>
            </w:r>
            <w:r>
              <w:rPr>
                <w:rFonts w:hint="eastAsia" w:ascii="宋体" w:hAnsi="宋体" w:cs="宋体"/>
                <w:color w:val="000000"/>
                <w:kern w:val="0"/>
                <w:szCs w:val="21"/>
              </w:rPr>
              <w:t>从对外开放新内涵、对外开放新机制和外商投资新制度三个方面，阐述如何实现高水平对外开放、开拓合作共赢新局面。</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eastAsia="宋体"/>
                <w:bCs/>
                <w:color w:val="000000" w:themeColor="text1"/>
                <w:szCs w:val="21"/>
                <w:lang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3</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bCs/>
                <w:color w:val="000000" w:themeColor="text1"/>
                <w:szCs w:val="21"/>
                <w14:textFill>
                  <w14:solidFill>
                    <w14:schemeClr w14:val="tx1"/>
                  </w14:solidFill>
                </w14:textFill>
              </w:rPr>
            </w:pPr>
          </w:p>
        </w:tc>
      </w:tr>
      <w:tr>
        <w:tblPrEx>
          <w:tblLayout w:type="fixed"/>
          <w:tblCellMar>
            <w:top w:w="0" w:type="dxa"/>
            <w:left w:w="108" w:type="dxa"/>
            <w:bottom w:w="0" w:type="dxa"/>
            <w:right w:w="108" w:type="dxa"/>
          </w:tblCellMar>
        </w:tblPrEx>
        <w:trPr>
          <w:trHeight w:val="1042"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3</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突发事件应急处置</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hint="eastAsia" w:eastAsia="宋体"/>
                <w:bCs/>
                <w:color w:val="000000" w:themeColor="text1"/>
                <w:szCs w:val="21"/>
                <w:lang w:val="en-US" w:eastAsia="zh-CN"/>
                <w14:textFill>
                  <w14:solidFill>
                    <w14:schemeClr w14:val="tx1"/>
                  </w14:solidFill>
                </w14:textFill>
              </w:rPr>
            </w:pPr>
            <w:r>
              <w:rPr>
                <w:rFonts w:ascii="宋体" w:hAnsi="宋体" w:cs="宋体"/>
                <w:color w:val="000000"/>
                <w:kern w:val="0"/>
                <w:szCs w:val="21"/>
              </w:rPr>
              <w:t>中共中央党校（国家行政学院）应急管理培训中心（中欧应急管理学院）教授钟开斌</w:t>
            </w:r>
            <w:r>
              <w:rPr>
                <w:rFonts w:hint="eastAsia" w:ascii="宋体" w:hAnsi="宋体" w:cs="宋体"/>
                <w:color w:val="000000"/>
                <w:kern w:val="0"/>
                <w:szCs w:val="21"/>
                <w:lang w:val="en-US" w:eastAsia="zh-CN"/>
              </w:rPr>
              <w:t>主讲。</w:t>
            </w:r>
          </w:p>
          <w:p>
            <w:pPr>
              <w:spacing w:line="240" w:lineRule="auto"/>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课程内容：</w:t>
            </w:r>
            <w:r>
              <w:rPr>
                <w:rFonts w:ascii="宋体" w:hAnsi="宋体" w:cs="宋体"/>
                <w:color w:val="000000"/>
                <w:kern w:val="0"/>
                <w:szCs w:val="21"/>
              </w:rPr>
              <w:t>讲解了突发事件应急处置的五个方面内容，即研判、报告、决策、组织和沟通。</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default" w:eastAsia="宋体"/>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1</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eastAsia="宋体"/>
                <w:bCs/>
                <w:color w:val="000000" w:themeColor="text1"/>
                <w:szCs w:val="21"/>
                <w:lang w:eastAsia="zh-CN"/>
                <w14:textFill>
                  <w14:solidFill>
                    <w14:schemeClr w14:val="tx1"/>
                  </w14:solidFill>
                </w14:textFill>
              </w:rPr>
            </w:pPr>
          </w:p>
        </w:tc>
      </w:tr>
      <w:tr>
        <w:tblPrEx>
          <w:tblLayout w:type="fixed"/>
          <w:tblCellMar>
            <w:top w:w="0" w:type="dxa"/>
            <w:left w:w="108" w:type="dxa"/>
            <w:bottom w:w="0" w:type="dxa"/>
            <w:right w:w="108" w:type="dxa"/>
          </w:tblCellMar>
        </w:tblPrEx>
        <w:trPr>
          <w:trHeight w:val="1364"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4</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突发事件预警与防范</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hint="default"/>
                <w:bCs/>
                <w:color w:val="000000" w:themeColor="text1"/>
                <w:szCs w:val="21"/>
                <w:lang w:val="en-US"/>
                <w14:textFill>
                  <w14:solidFill>
                    <w14:schemeClr w14:val="tx1"/>
                  </w14:solidFill>
                </w14:textFill>
              </w:rPr>
            </w:pPr>
            <w:r>
              <w:rPr>
                <w:rFonts w:hint="default" w:ascii="宋体" w:hAnsi="宋体" w:cs="宋体"/>
                <w:color w:val="000000"/>
                <w:kern w:val="0"/>
                <w:szCs w:val="21"/>
                <w:lang w:val="en-US" w:eastAsia="zh-CN"/>
              </w:rPr>
              <w:t>中共中央党校（国家行政学院）应急管理培训中心（中欧应急管理学院）副教授董泽宇</w:t>
            </w:r>
            <w:r>
              <w:rPr>
                <w:rFonts w:hint="eastAsia" w:ascii="宋体" w:hAnsi="宋体" w:cs="宋体"/>
                <w:color w:val="000000"/>
                <w:kern w:val="0"/>
                <w:szCs w:val="21"/>
                <w:lang w:val="en-US" w:eastAsia="zh-CN"/>
              </w:rPr>
              <w:t>主讲，</w:t>
            </w:r>
          </w:p>
          <w:p>
            <w:pPr>
              <w:spacing w:line="240" w:lineRule="auto"/>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课程内容：</w:t>
            </w:r>
            <w:r>
              <w:rPr>
                <w:rFonts w:hint="eastAsia" w:ascii="宋体" w:hAnsi="宋体" w:cs="宋体"/>
                <w:color w:val="000000"/>
                <w:kern w:val="0"/>
                <w:szCs w:val="21"/>
                <w:lang w:val="en-US" w:eastAsia="zh-CN"/>
              </w:rPr>
              <w:t>阐述预警管理的体系框架，现阶段预警管理中存在的问题与挑战，突发事件预警与防范措施。</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eastAsia="宋体"/>
                <w:bCs/>
                <w:color w:val="000000" w:themeColor="text1"/>
                <w:szCs w:val="21"/>
                <w:lang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2</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bCs/>
                <w:color w:val="000000" w:themeColor="text1"/>
                <w:szCs w:val="21"/>
                <w14:textFill>
                  <w14:solidFill>
                    <w14:schemeClr w14:val="tx1"/>
                  </w14:solidFill>
                </w14:textFill>
              </w:rPr>
            </w:pPr>
          </w:p>
        </w:tc>
      </w:tr>
      <w:tr>
        <w:tblPrEx>
          <w:tblLayout w:type="fixed"/>
          <w:tblCellMar>
            <w:top w:w="0" w:type="dxa"/>
            <w:left w:w="108" w:type="dxa"/>
            <w:bottom w:w="0" w:type="dxa"/>
            <w:right w:w="108" w:type="dxa"/>
          </w:tblCellMar>
        </w:tblPrEx>
        <w:trPr>
          <w:trHeight w:val="1259"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5</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新时代中国经济“自画像”</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hint="eastAsia" w:eastAsia="宋体"/>
                <w:bCs/>
                <w:color w:val="000000" w:themeColor="text1"/>
                <w:szCs w:val="21"/>
                <w:lang w:val="en-US" w:eastAsia="zh-CN"/>
                <w14:textFill>
                  <w14:solidFill>
                    <w14:schemeClr w14:val="tx1"/>
                  </w14:solidFill>
                </w14:textFill>
              </w:rPr>
            </w:pPr>
            <w:r>
              <w:rPr>
                <w:rFonts w:hint="eastAsia" w:ascii="宋体" w:hAnsi="宋体" w:cs="宋体"/>
                <w:color w:val="000000"/>
                <w:kern w:val="0"/>
                <w:szCs w:val="21"/>
              </w:rPr>
              <w:t>中国人民大学应用经济学院院长、教授郑新业</w:t>
            </w:r>
            <w:r>
              <w:rPr>
                <w:rFonts w:hint="eastAsia" w:ascii="宋体" w:hAnsi="宋体" w:cs="宋体"/>
                <w:color w:val="000000"/>
                <w:kern w:val="0"/>
                <w:szCs w:val="21"/>
                <w:lang w:val="en-US" w:eastAsia="zh-CN"/>
              </w:rPr>
              <w:t>主讲</w:t>
            </w:r>
          </w:p>
          <w:p>
            <w:pPr>
              <w:spacing w:line="240" w:lineRule="auto"/>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课程内容：</w:t>
            </w:r>
            <w:r>
              <w:rPr>
                <w:rFonts w:hint="eastAsia"/>
                <w:bCs/>
                <w:color w:val="000000" w:themeColor="text1"/>
                <w:szCs w:val="21"/>
                <w:lang w:val="en-US" w:eastAsia="zh-CN"/>
                <w14:textFill>
                  <w14:solidFill>
                    <w14:schemeClr w14:val="tx1"/>
                  </w14:solidFill>
                </w14:textFill>
              </w:rPr>
              <w:t>本课程详细介绍了</w:t>
            </w:r>
            <w:r>
              <w:rPr>
                <w:rFonts w:hint="eastAsia" w:ascii="宋体" w:hAnsi="宋体" w:cs="宋体"/>
                <w:color w:val="000000"/>
                <w:kern w:val="0"/>
                <w:szCs w:val="21"/>
              </w:rPr>
              <w:t>新时代中国经济“自画像”</w:t>
            </w:r>
            <w:r>
              <w:rPr>
                <w:rFonts w:hint="eastAsia" w:ascii="宋体" w:hAnsi="宋体" w:cs="宋体"/>
                <w:color w:val="000000"/>
                <w:kern w:val="0"/>
                <w:szCs w:val="21"/>
                <w:lang w:val="en-US" w:eastAsia="zh-CN"/>
              </w:rPr>
              <w:t>的含义</w:t>
            </w:r>
            <w:r>
              <w:rPr>
                <w:rFonts w:hint="eastAsia" w:ascii="宋体" w:hAnsi="宋体" w:cs="宋体"/>
                <w:color w:val="000000"/>
                <w:kern w:val="0"/>
                <w:szCs w:val="21"/>
                <w:lang w:eastAsia="zh-CN"/>
              </w:rPr>
              <w:t>。</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default" w:eastAsia="宋体"/>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0.5</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bCs/>
                <w:color w:val="000000" w:themeColor="text1"/>
                <w:szCs w:val="21"/>
                <w14:textFill>
                  <w14:solidFill>
                    <w14:schemeClr w14:val="tx1"/>
                  </w14:solidFill>
                </w14:textFill>
              </w:rPr>
            </w:pPr>
            <w:r>
              <w:rPr>
                <w:rFonts w:hint="eastAsia"/>
                <w:color w:val="000000"/>
                <w:szCs w:val="21"/>
                <w:lang w:val="en-US" w:eastAsia="zh-CN"/>
              </w:rPr>
              <w:t>微课程</w:t>
            </w:r>
          </w:p>
        </w:tc>
      </w:tr>
      <w:tr>
        <w:tblPrEx>
          <w:tblLayout w:type="fixed"/>
          <w:tblCellMar>
            <w:top w:w="0" w:type="dxa"/>
            <w:left w:w="108" w:type="dxa"/>
            <w:bottom w:w="0" w:type="dxa"/>
            <w:right w:w="108" w:type="dxa"/>
          </w:tblCellMar>
        </w:tblPrEx>
        <w:trPr>
          <w:trHeight w:val="1741"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6</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新时代中国经济的潜力与面对的挑战</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hint="eastAsia" w:eastAsia="宋体"/>
                <w:bCs/>
                <w:color w:val="000000" w:themeColor="text1"/>
                <w:szCs w:val="21"/>
                <w:lang w:val="en-US" w:eastAsia="zh-CN"/>
                <w14:textFill>
                  <w14:solidFill>
                    <w14:schemeClr w14:val="tx1"/>
                  </w14:solidFill>
                </w14:textFill>
              </w:rPr>
            </w:pPr>
            <w:r>
              <w:rPr>
                <w:rFonts w:hint="eastAsia" w:ascii="宋体" w:hAnsi="宋体" w:cs="宋体"/>
                <w:color w:val="000000"/>
                <w:kern w:val="0"/>
                <w:szCs w:val="21"/>
              </w:rPr>
              <w:t>中国人民大学应用经济学院院长、教授郑新业</w:t>
            </w:r>
            <w:r>
              <w:rPr>
                <w:rFonts w:hint="eastAsia" w:ascii="宋体" w:hAnsi="宋体" w:cs="宋体"/>
                <w:color w:val="000000"/>
                <w:kern w:val="0"/>
                <w:szCs w:val="21"/>
                <w:lang w:val="en-US" w:eastAsia="zh-CN"/>
              </w:rPr>
              <w:t>主讲</w:t>
            </w:r>
          </w:p>
          <w:p>
            <w:pPr>
              <w:spacing w:line="240" w:lineRule="auto"/>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课程内容：</w:t>
            </w:r>
            <w:r>
              <w:rPr>
                <w:rFonts w:hint="eastAsia"/>
                <w:bCs/>
                <w:color w:val="000000" w:themeColor="text1"/>
                <w:szCs w:val="21"/>
                <w:lang w:val="en-US" w:eastAsia="zh-CN"/>
                <w14:textFill>
                  <w14:solidFill>
                    <w14:schemeClr w14:val="tx1"/>
                  </w14:solidFill>
                </w14:textFill>
              </w:rPr>
              <w:t>本课程详细介绍了</w:t>
            </w:r>
            <w:r>
              <w:rPr>
                <w:rFonts w:hint="eastAsia" w:ascii="宋体" w:hAnsi="宋体" w:cs="宋体"/>
                <w:color w:val="000000"/>
                <w:kern w:val="0"/>
                <w:szCs w:val="21"/>
              </w:rPr>
              <w:t>新时代中国经济的潜力与面对的挑战</w:t>
            </w:r>
            <w:r>
              <w:rPr>
                <w:rFonts w:hint="eastAsia" w:ascii="宋体" w:hAnsi="宋体" w:cs="宋体"/>
                <w:color w:val="000000"/>
                <w:kern w:val="0"/>
                <w:szCs w:val="21"/>
                <w:lang w:val="en-US" w:eastAsia="zh-CN"/>
              </w:rPr>
              <w:t>有哪些</w:t>
            </w:r>
            <w:r>
              <w:rPr>
                <w:rFonts w:hint="eastAsia" w:ascii="宋体" w:hAnsi="宋体" w:cs="宋体"/>
                <w:color w:val="000000"/>
                <w:kern w:val="0"/>
                <w:szCs w:val="21"/>
                <w:lang w:eastAsia="zh-CN"/>
              </w:rPr>
              <w:t>。</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default" w:eastAsia="宋体"/>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0.5</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bCs/>
                <w:color w:val="000000" w:themeColor="text1"/>
                <w:szCs w:val="21"/>
                <w14:textFill>
                  <w14:solidFill>
                    <w14:schemeClr w14:val="tx1"/>
                  </w14:solidFill>
                </w14:textFill>
              </w:rPr>
            </w:pPr>
            <w:r>
              <w:rPr>
                <w:rFonts w:hint="eastAsia"/>
                <w:color w:val="000000"/>
                <w:szCs w:val="21"/>
                <w:lang w:val="en-US" w:eastAsia="zh-CN"/>
              </w:rPr>
              <w:t>微课程</w:t>
            </w:r>
          </w:p>
        </w:tc>
      </w:tr>
      <w:tr>
        <w:tblPrEx>
          <w:tblLayout w:type="fixed"/>
          <w:tblCellMar>
            <w:top w:w="0" w:type="dxa"/>
            <w:left w:w="108" w:type="dxa"/>
            <w:bottom w:w="0" w:type="dxa"/>
            <w:right w:w="108" w:type="dxa"/>
          </w:tblCellMar>
        </w:tblPrEx>
        <w:trPr>
          <w:trHeight w:val="1454"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7</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新时代中国现代经济体系的构建思路与政策组合</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hint="eastAsia" w:eastAsia="宋体"/>
                <w:bCs/>
                <w:color w:val="000000" w:themeColor="text1"/>
                <w:szCs w:val="21"/>
                <w:lang w:val="en-US" w:eastAsia="zh-CN"/>
                <w14:textFill>
                  <w14:solidFill>
                    <w14:schemeClr w14:val="tx1"/>
                  </w14:solidFill>
                </w14:textFill>
              </w:rPr>
            </w:pPr>
            <w:r>
              <w:rPr>
                <w:rFonts w:hint="eastAsia" w:ascii="宋体" w:hAnsi="宋体" w:cs="宋体"/>
                <w:color w:val="000000"/>
                <w:kern w:val="0"/>
                <w:szCs w:val="21"/>
              </w:rPr>
              <w:t>中国人民大学应用经济学院院长、教授郑新业</w:t>
            </w:r>
            <w:r>
              <w:rPr>
                <w:rFonts w:hint="eastAsia" w:ascii="宋体" w:hAnsi="宋体" w:cs="宋体"/>
                <w:color w:val="000000"/>
                <w:kern w:val="0"/>
                <w:szCs w:val="21"/>
                <w:lang w:val="en-US" w:eastAsia="zh-CN"/>
              </w:rPr>
              <w:t>主讲</w:t>
            </w:r>
          </w:p>
          <w:p>
            <w:pPr>
              <w:spacing w:line="240" w:lineRule="auto"/>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课程内容：</w:t>
            </w:r>
            <w:r>
              <w:rPr>
                <w:rFonts w:hint="eastAsia"/>
                <w:bCs/>
                <w:color w:val="000000" w:themeColor="text1"/>
                <w:szCs w:val="21"/>
                <w:lang w:val="en-US" w:eastAsia="zh-CN"/>
                <w14:textFill>
                  <w14:solidFill>
                    <w14:schemeClr w14:val="tx1"/>
                  </w14:solidFill>
                </w14:textFill>
              </w:rPr>
              <w:t>本课程详细介绍了</w:t>
            </w:r>
            <w:r>
              <w:rPr>
                <w:rFonts w:hint="eastAsia" w:ascii="宋体" w:hAnsi="宋体" w:cs="宋体"/>
                <w:color w:val="000000"/>
                <w:kern w:val="0"/>
                <w:szCs w:val="21"/>
              </w:rPr>
              <w:t>新时代中国现代经济体系的构建思路与政策组合</w:t>
            </w:r>
            <w:r>
              <w:rPr>
                <w:rFonts w:hint="eastAsia" w:ascii="宋体" w:hAnsi="宋体" w:cs="宋体"/>
                <w:color w:val="000000"/>
                <w:kern w:val="0"/>
                <w:szCs w:val="21"/>
                <w:lang w:eastAsia="zh-CN"/>
              </w:rPr>
              <w:t>。</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default" w:eastAsia="宋体"/>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0.5</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bCs/>
                <w:color w:val="000000" w:themeColor="text1"/>
                <w:szCs w:val="21"/>
                <w14:textFill>
                  <w14:solidFill>
                    <w14:schemeClr w14:val="tx1"/>
                  </w14:solidFill>
                </w14:textFill>
              </w:rPr>
            </w:pPr>
            <w:r>
              <w:rPr>
                <w:rFonts w:hint="eastAsia"/>
                <w:color w:val="000000"/>
                <w:szCs w:val="21"/>
                <w:lang w:val="en-US" w:eastAsia="zh-CN"/>
              </w:rPr>
              <w:t>微课程</w:t>
            </w:r>
          </w:p>
        </w:tc>
      </w:tr>
      <w:tr>
        <w:tblPrEx>
          <w:tblLayout w:type="fixed"/>
          <w:tblCellMar>
            <w:top w:w="0" w:type="dxa"/>
            <w:left w:w="108" w:type="dxa"/>
            <w:bottom w:w="0" w:type="dxa"/>
            <w:right w:w="108" w:type="dxa"/>
          </w:tblCellMar>
        </w:tblPrEx>
        <w:trPr>
          <w:trHeight w:val="1324"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8</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关于构建“双循环”新发展格局的重大部署</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hint="default"/>
                <w:bCs/>
                <w:color w:val="000000" w:themeColor="text1"/>
                <w:szCs w:val="21"/>
                <w:lang w:val="en-US"/>
                <w14:textFill>
                  <w14:solidFill>
                    <w14:schemeClr w14:val="tx1"/>
                  </w14:solidFill>
                </w14:textFill>
              </w:rPr>
            </w:pPr>
            <w:r>
              <w:rPr>
                <w:rFonts w:hint="eastAsia" w:ascii="宋体" w:hAnsi="宋体" w:eastAsia="宋体" w:cs="宋体"/>
                <w:i w:val="0"/>
                <w:color w:val="000000"/>
                <w:kern w:val="0"/>
                <w:sz w:val="22"/>
                <w:szCs w:val="22"/>
                <w:u w:val="none"/>
                <w:lang w:val="en-US" w:eastAsia="zh-CN" w:bidi="ar"/>
              </w:rPr>
              <w:t>中共中央党校（国家行政学院）经济学部副教授、博士后周跃辉</w:t>
            </w:r>
            <w:r>
              <w:rPr>
                <w:rFonts w:hint="eastAsia" w:ascii="宋体" w:hAnsi="宋体" w:cs="宋体"/>
                <w:i w:val="0"/>
                <w:color w:val="000000"/>
                <w:kern w:val="0"/>
                <w:sz w:val="22"/>
                <w:szCs w:val="22"/>
                <w:u w:val="none"/>
                <w:lang w:val="en-US" w:eastAsia="zh-CN" w:bidi="ar"/>
              </w:rPr>
              <w:t>主讲。</w:t>
            </w:r>
          </w:p>
          <w:p>
            <w:pPr>
              <w:spacing w:line="240" w:lineRule="auto"/>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课程内容：</w:t>
            </w:r>
            <w:r>
              <w:rPr>
                <w:rFonts w:hint="eastAsia" w:ascii="宋体" w:hAnsi="宋体" w:cs="宋体"/>
                <w:color w:val="000000"/>
                <w:kern w:val="0"/>
                <w:szCs w:val="21"/>
              </w:rPr>
              <w:t>阐述十九届五中全会关于当前宏观经济格局的战略判断，“双循环”新发展格局的战略决策背景分析，“十四五”时期我国宏观经济政策前瞻阐释。</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2</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bCs/>
                <w:color w:val="000000" w:themeColor="text1"/>
                <w:szCs w:val="21"/>
                <w14:textFill>
                  <w14:solidFill>
                    <w14:schemeClr w14:val="tx1"/>
                  </w14:solidFill>
                </w14:textFill>
              </w:rPr>
            </w:pPr>
          </w:p>
        </w:tc>
      </w:tr>
      <w:tr>
        <w:tblPrEx>
          <w:tblLayout w:type="fixed"/>
          <w:tblCellMar>
            <w:top w:w="0" w:type="dxa"/>
            <w:left w:w="108" w:type="dxa"/>
            <w:bottom w:w="0" w:type="dxa"/>
            <w:right w:w="108" w:type="dxa"/>
          </w:tblCellMar>
        </w:tblPrEx>
        <w:trPr>
          <w:trHeight w:val="1319"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9</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“钉钉子”精神的内涵与内容</w:t>
            </w:r>
          </w:p>
        </w:tc>
        <w:tc>
          <w:tcPr>
            <w:tcW w:w="8788"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hint="eastAsia" w:eastAsia="宋体"/>
                <w:bCs/>
                <w:color w:val="000000" w:themeColor="text1"/>
                <w:szCs w:val="21"/>
                <w:lang w:val="en-US" w:eastAsia="zh-CN"/>
                <w14:textFill>
                  <w14:solidFill>
                    <w14:schemeClr w14:val="tx1"/>
                  </w14:solidFill>
                </w14:textFill>
              </w:rPr>
            </w:pPr>
            <w:r>
              <w:rPr>
                <w:rFonts w:hint="eastAsia" w:ascii="宋体" w:hAnsi="宋体" w:cs="宋体"/>
                <w:color w:val="000000"/>
                <w:kern w:val="0"/>
                <w:szCs w:val="21"/>
              </w:rPr>
              <w:t>中共中央党校（国家行政学院）教授、博士生导师李军鹏</w:t>
            </w:r>
            <w:r>
              <w:rPr>
                <w:rFonts w:hint="eastAsia" w:ascii="宋体" w:hAnsi="宋体" w:cs="宋体"/>
                <w:color w:val="000000"/>
                <w:kern w:val="0"/>
                <w:szCs w:val="21"/>
                <w:lang w:val="en-US" w:eastAsia="zh-CN"/>
              </w:rPr>
              <w:t>主讲。</w:t>
            </w:r>
          </w:p>
          <w:p>
            <w:pPr>
              <w:spacing w:line="240" w:lineRule="auto"/>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课程内容：</w:t>
            </w:r>
            <w:r>
              <w:rPr>
                <w:rFonts w:hint="eastAsia"/>
                <w:bCs/>
                <w:color w:val="000000" w:themeColor="text1"/>
                <w:szCs w:val="21"/>
                <w:lang w:val="en-US" w:eastAsia="zh-CN"/>
                <w14:textFill>
                  <w14:solidFill>
                    <w14:schemeClr w14:val="tx1"/>
                  </w14:solidFill>
                </w14:textFill>
              </w:rPr>
              <w:t>本课程详细介绍了</w:t>
            </w:r>
            <w:r>
              <w:rPr>
                <w:rFonts w:hint="eastAsia" w:ascii="宋体" w:hAnsi="宋体" w:cs="宋体"/>
                <w:color w:val="000000"/>
                <w:kern w:val="0"/>
                <w:szCs w:val="21"/>
              </w:rPr>
              <w:t>“钉钉子”精神的内涵与内容</w:t>
            </w:r>
            <w:r>
              <w:rPr>
                <w:rFonts w:hint="eastAsia" w:ascii="宋体" w:hAnsi="宋体" w:cs="宋体"/>
                <w:color w:val="000000"/>
                <w:kern w:val="0"/>
                <w:szCs w:val="21"/>
                <w:lang w:eastAsia="zh-CN"/>
              </w:rPr>
              <w:t>。</w:t>
            </w:r>
          </w:p>
        </w:tc>
        <w:tc>
          <w:tcPr>
            <w:tcW w:w="1100"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hint="eastAsia" w:eastAsia="宋体"/>
                <w:bCs/>
                <w:color w:val="000000" w:themeColor="text1"/>
                <w:szCs w:val="21"/>
                <w:lang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0.5</w:t>
            </w:r>
          </w:p>
        </w:tc>
        <w:tc>
          <w:tcPr>
            <w:tcW w:w="984"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hint="eastAsia" w:eastAsia="宋体"/>
                <w:bCs/>
                <w:color w:val="000000" w:themeColor="text1"/>
                <w:szCs w:val="21"/>
                <w:lang w:eastAsia="zh-CN"/>
                <w14:textFill>
                  <w14:solidFill>
                    <w14:schemeClr w14:val="tx1"/>
                  </w14:solidFill>
                </w14:textFill>
              </w:rPr>
            </w:pPr>
            <w:r>
              <w:rPr>
                <w:rFonts w:hint="eastAsia"/>
                <w:color w:val="000000"/>
                <w:szCs w:val="21"/>
                <w:lang w:val="en-US" w:eastAsia="zh-CN"/>
              </w:rPr>
              <w:t>微课程</w:t>
            </w:r>
          </w:p>
        </w:tc>
      </w:tr>
      <w:tr>
        <w:tblPrEx>
          <w:tblLayout w:type="fixed"/>
          <w:tblCellMar>
            <w:top w:w="0" w:type="dxa"/>
            <w:left w:w="108" w:type="dxa"/>
            <w:bottom w:w="0" w:type="dxa"/>
            <w:right w:w="108" w:type="dxa"/>
          </w:tblCellMar>
        </w:tblPrEx>
        <w:trPr>
          <w:trHeight w:val="1212"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10</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坚决打好防范化解重大风险攻坚战 提升风险防范能力</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hint="eastAsia" w:eastAsia="宋体"/>
                <w:bCs/>
                <w:color w:val="000000" w:themeColor="text1"/>
                <w:szCs w:val="21"/>
                <w:lang w:val="en-US" w:eastAsia="zh-CN"/>
                <w14:textFill>
                  <w14:solidFill>
                    <w14:schemeClr w14:val="tx1"/>
                  </w14:solidFill>
                </w14:textFill>
              </w:rPr>
            </w:pPr>
            <w:r>
              <w:rPr>
                <w:rFonts w:hint="eastAsia" w:ascii="宋体" w:hAnsi="宋体" w:cs="宋体"/>
                <w:color w:val="000000"/>
                <w:kern w:val="0"/>
                <w:szCs w:val="21"/>
              </w:rPr>
              <w:t>中共中央党校（国家行政学院）应急管理教研部教授、博士生导师李雪峰</w:t>
            </w:r>
            <w:r>
              <w:rPr>
                <w:rFonts w:hint="eastAsia" w:ascii="宋体" w:hAnsi="宋体" w:cs="宋体"/>
                <w:color w:val="000000"/>
                <w:kern w:val="0"/>
                <w:szCs w:val="21"/>
                <w:lang w:val="en-US" w:eastAsia="zh-CN"/>
              </w:rPr>
              <w:t>主讲。</w:t>
            </w:r>
          </w:p>
          <w:p>
            <w:pPr>
              <w:spacing w:line="240" w:lineRule="auto"/>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课程内容：</w:t>
            </w:r>
            <w:r>
              <w:rPr>
                <w:rFonts w:hint="eastAsia"/>
                <w:bCs/>
                <w:color w:val="000000" w:themeColor="text1"/>
                <w:szCs w:val="21"/>
                <w:lang w:val="en-US" w:eastAsia="zh-CN"/>
                <w14:textFill>
                  <w14:solidFill>
                    <w14:schemeClr w14:val="tx1"/>
                  </w14:solidFill>
                </w14:textFill>
              </w:rPr>
              <w:t>本课程详细介绍了</w:t>
            </w:r>
            <w:r>
              <w:rPr>
                <w:rFonts w:hint="eastAsia" w:ascii="宋体" w:hAnsi="宋体" w:cs="宋体"/>
                <w:color w:val="000000"/>
                <w:kern w:val="0"/>
                <w:szCs w:val="21"/>
              </w:rPr>
              <w:t>坚决打好防范化解重大风险攻坚战，提升风险防范能力</w:t>
            </w:r>
            <w:r>
              <w:rPr>
                <w:rFonts w:hint="eastAsia" w:ascii="宋体" w:hAnsi="宋体" w:cs="宋体"/>
                <w:color w:val="000000"/>
                <w:kern w:val="0"/>
                <w:szCs w:val="21"/>
                <w:lang w:eastAsia="zh-CN"/>
              </w:rPr>
              <w:t>。</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default" w:eastAsia="宋体"/>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0.5</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bCs/>
                <w:color w:val="000000" w:themeColor="text1"/>
                <w:szCs w:val="21"/>
                <w14:textFill>
                  <w14:solidFill>
                    <w14:schemeClr w14:val="tx1"/>
                  </w14:solidFill>
                </w14:textFill>
              </w:rPr>
            </w:pPr>
            <w:r>
              <w:rPr>
                <w:rFonts w:hint="eastAsia"/>
                <w:color w:val="000000"/>
                <w:szCs w:val="21"/>
                <w:lang w:val="en-US" w:eastAsia="zh-CN"/>
              </w:rPr>
              <w:t>微课程</w:t>
            </w:r>
          </w:p>
        </w:tc>
      </w:tr>
      <w:tr>
        <w:tblPrEx>
          <w:tblLayout w:type="fixed"/>
          <w:tblCellMar>
            <w:top w:w="0" w:type="dxa"/>
            <w:left w:w="108" w:type="dxa"/>
            <w:bottom w:w="0" w:type="dxa"/>
            <w:right w:w="108" w:type="dxa"/>
          </w:tblCellMar>
        </w:tblPrEx>
        <w:trPr>
          <w:trHeight w:val="1289"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11</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社会主义建设与中国特色 社会主义理论体系的形成和发展</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hint="eastAsia" w:eastAsia="宋体"/>
                <w:bCs/>
                <w:color w:val="000000" w:themeColor="text1"/>
                <w:szCs w:val="21"/>
                <w:lang w:val="en-US" w:eastAsia="zh-CN"/>
                <w14:textFill>
                  <w14:solidFill>
                    <w14:schemeClr w14:val="tx1"/>
                  </w14:solidFill>
                </w14:textFill>
              </w:rPr>
            </w:pPr>
            <w:r>
              <w:rPr>
                <w:rFonts w:hint="eastAsia" w:ascii="宋体" w:hAnsi="宋体" w:cs="宋体"/>
                <w:color w:val="000000"/>
                <w:kern w:val="0"/>
                <w:szCs w:val="21"/>
              </w:rPr>
              <w:t>北京市委党校研究员、北京党建研究基地研究员刘汉峰</w:t>
            </w:r>
            <w:r>
              <w:rPr>
                <w:rFonts w:hint="eastAsia" w:ascii="宋体" w:hAnsi="宋体" w:cs="宋体"/>
                <w:color w:val="000000"/>
                <w:kern w:val="0"/>
                <w:szCs w:val="21"/>
                <w:lang w:val="en-US" w:eastAsia="zh-CN"/>
              </w:rPr>
              <w:t>主讲。</w:t>
            </w:r>
          </w:p>
          <w:p>
            <w:pPr>
              <w:spacing w:line="240" w:lineRule="auto"/>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课程内容：</w:t>
            </w:r>
            <w:r>
              <w:rPr>
                <w:rFonts w:hint="eastAsia"/>
                <w:bCs/>
                <w:color w:val="000000" w:themeColor="text1"/>
                <w:szCs w:val="21"/>
                <w:lang w:val="en-US" w:eastAsia="zh-CN"/>
                <w14:textFill>
                  <w14:solidFill>
                    <w14:schemeClr w14:val="tx1"/>
                  </w14:solidFill>
                </w14:textFill>
              </w:rPr>
              <w:t>本课程详细介绍了</w:t>
            </w:r>
            <w:r>
              <w:rPr>
                <w:rFonts w:hint="eastAsia" w:ascii="宋体" w:hAnsi="宋体" w:cs="宋体"/>
                <w:color w:val="000000"/>
                <w:kern w:val="0"/>
                <w:szCs w:val="21"/>
              </w:rPr>
              <w:t>社会主义建设与中国特色社会主义理论体系的形成和发展</w:t>
            </w:r>
            <w:r>
              <w:rPr>
                <w:rFonts w:hint="eastAsia" w:ascii="宋体" w:hAnsi="宋体" w:cs="宋体"/>
                <w:color w:val="000000"/>
                <w:kern w:val="0"/>
                <w:szCs w:val="21"/>
                <w:lang w:eastAsia="zh-CN"/>
              </w:rPr>
              <w:t>。</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default" w:eastAsia="宋体"/>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0.5</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bCs/>
                <w:color w:val="000000" w:themeColor="text1"/>
                <w:szCs w:val="21"/>
                <w14:textFill>
                  <w14:solidFill>
                    <w14:schemeClr w14:val="tx1"/>
                  </w14:solidFill>
                </w14:textFill>
              </w:rPr>
            </w:pPr>
            <w:r>
              <w:rPr>
                <w:rFonts w:hint="eastAsia"/>
                <w:color w:val="000000"/>
                <w:szCs w:val="21"/>
                <w:lang w:val="en-US" w:eastAsia="zh-CN"/>
              </w:rPr>
              <w:t>微课程</w:t>
            </w:r>
          </w:p>
        </w:tc>
      </w:tr>
      <w:tr>
        <w:tblPrEx>
          <w:tblLayout w:type="fixed"/>
          <w:tblCellMar>
            <w:top w:w="0" w:type="dxa"/>
            <w:left w:w="108" w:type="dxa"/>
            <w:bottom w:w="0" w:type="dxa"/>
            <w:right w:w="108" w:type="dxa"/>
          </w:tblCellMar>
        </w:tblPrEx>
        <w:trPr>
          <w:trHeight w:val="1259"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12</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怎样把中国共产党建设得更加坚强有力</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hint="eastAsia" w:eastAsia="宋体"/>
                <w:bCs/>
                <w:color w:val="000000" w:themeColor="text1"/>
                <w:szCs w:val="21"/>
                <w:lang w:val="en-US" w:eastAsia="zh-CN"/>
                <w14:textFill>
                  <w14:solidFill>
                    <w14:schemeClr w14:val="tx1"/>
                  </w14:solidFill>
                </w14:textFill>
              </w:rPr>
            </w:pPr>
            <w:r>
              <w:rPr>
                <w:rFonts w:hint="eastAsia" w:ascii="宋体" w:hAnsi="宋体" w:cs="宋体"/>
                <w:color w:val="000000"/>
                <w:kern w:val="0"/>
                <w:szCs w:val="21"/>
              </w:rPr>
              <w:t>中共中央党校（国家行政学院）马克思主义学院副教授李双套</w:t>
            </w:r>
            <w:r>
              <w:rPr>
                <w:rFonts w:hint="eastAsia" w:ascii="宋体" w:hAnsi="宋体" w:cs="宋体"/>
                <w:color w:val="000000"/>
                <w:kern w:val="0"/>
                <w:szCs w:val="21"/>
                <w:lang w:val="en-US" w:eastAsia="zh-CN"/>
              </w:rPr>
              <w:t>主讲。</w:t>
            </w:r>
          </w:p>
          <w:p>
            <w:pPr>
              <w:spacing w:line="240" w:lineRule="auto"/>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课程内容：</w:t>
            </w:r>
            <w:r>
              <w:rPr>
                <w:rFonts w:hint="eastAsia"/>
                <w:bCs/>
                <w:color w:val="000000" w:themeColor="text1"/>
                <w:szCs w:val="21"/>
                <w:lang w:val="en-US" w:eastAsia="zh-CN"/>
                <w14:textFill>
                  <w14:solidFill>
                    <w14:schemeClr w14:val="tx1"/>
                  </w14:solidFill>
                </w14:textFill>
              </w:rPr>
              <w:t>本课程详细介绍了</w:t>
            </w:r>
            <w:r>
              <w:rPr>
                <w:rFonts w:hint="eastAsia" w:ascii="宋体" w:hAnsi="宋体" w:cs="宋体"/>
                <w:color w:val="000000"/>
                <w:kern w:val="0"/>
                <w:szCs w:val="21"/>
              </w:rPr>
              <w:t>怎样把中国共产党建设得更加坚强有力</w:t>
            </w:r>
            <w:r>
              <w:rPr>
                <w:rFonts w:hint="eastAsia" w:ascii="宋体" w:hAnsi="宋体" w:cs="宋体"/>
                <w:color w:val="000000"/>
                <w:kern w:val="0"/>
                <w:szCs w:val="21"/>
                <w:lang w:eastAsia="zh-CN"/>
              </w:rPr>
              <w:t>。</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eastAsia="宋体"/>
                <w:bCs/>
                <w:color w:val="000000" w:themeColor="text1"/>
                <w:szCs w:val="21"/>
                <w:lang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0.5</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bCs/>
                <w:color w:val="000000" w:themeColor="text1"/>
                <w:szCs w:val="21"/>
                <w14:textFill>
                  <w14:solidFill>
                    <w14:schemeClr w14:val="tx1"/>
                  </w14:solidFill>
                </w14:textFill>
              </w:rPr>
            </w:pPr>
            <w:r>
              <w:rPr>
                <w:rFonts w:hint="eastAsia"/>
                <w:color w:val="000000"/>
                <w:szCs w:val="21"/>
                <w:lang w:val="en-US" w:eastAsia="zh-CN"/>
              </w:rPr>
              <w:t>微课程</w:t>
            </w:r>
          </w:p>
        </w:tc>
      </w:tr>
      <w:tr>
        <w:tblPrEx>
          <w:tblLayout w:type="fixed"/>
          <w:tblCellMar>
            <w:top w:w="0" w:type="dxa"/>
            <w:left w:w="108" w:type="dxa"/>
            <w:bottom w:w="0" w:type="dxa"/>
            <w:right w:w="108" w:type="dxa"/>
          </w:tblCellMar>
        </w:tblPrEx>
        <w:trPr>
          <w:trHeight w:val="1205"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13</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公务员素质能力培养 第1讲 高素质和专业化是对公务员的总要求</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hint="eastAsia" w:eastAsia="宋体"/>
                <w:bCs/>
                <w:color w:val="000000" w:themeColor="text1"/>
                <w:szCs w:val="21"/>
                <w:lang w:val="en-US" w:eastAsia="zh-CN"/>
                <w14:textFill>
                  <w14:solidFill>
                    <w14:schemeClr w14:val="tx1"/>
                  </w14:solidFill>
                </w14:textFill>
              </w:rPr>
            </w:pPr>
            <w:r>
              <w:rPr>
                <w:rFonts w:hint="eastAsia" w:ascii="宋体" w:hAnsi="宋体" w:cs="宋体"/>
                <w:color w:val="000000"/>
                <w:kern w:val="0"/>
                <w:szCs w:val="21"/>
              </w:rPr>
              <w:t>首都师范大学马克思主义学院教授石国亮</w:t>
            </w:r>
            <w:r>
              <w:rPr>
                <w:rFonts w:hint="eastAsia" w:ascii="宋体" w:hAnsi="宋体" w:cs="宋体"/>
                <w:color w:val="000000"/>
                <w:kern w:val="0"/>
                <w:szCs w:val="21"/>
                <w:lang w:val="en-US" w:eastAsia="zh-CN"/>
              </w:rPr>
              <w:t>主讲。</w:t>
            </w:r>
          </w:p>
          <w:p>
            <w:pPr>
              <w:spacing w:line="240" w:lineRule="auto"/>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课程内容：</w:t>
            </w:r>
            <w:r>
              <w:rPr>
                <w:rFonts w:hint="eastAsia"/>
                <w:bCs/>
                <w:color w:val="000000" w:themeColor="text1"/>
                <w:szCs w:val="21"/>
                <w:lang w:val="en-US" w:eastAsia="zh-CN"/>
                <w14:textFill>
                  <w14:solidFill>
                    <w14:schemeClr w14:val="tx1"/>
                  </w14:solidFill>
                </w14:textFill>
              </w:rPr>
              <w:t>本课程详细介绍了</w:t>
            </w:r>
            <w:r>
              <w:rPr>
                <w:rFonts w:hint="eastAsia" w:ascii="宋体" w:hAnsi="宋体" w:cs="宋体"/>
                <w:color w:val="000000"/>
                <w:kern w:val="0"/>
                <w:szCs w:val="21"/>
              </w:rPr>
              <w:t>高素质和专业化是对公务员的总要求</w:t>
            </w:r>
            <w:r>
              <w:rPr>
                <w:rFonts w:hint="eastAsia" w:ascii="宋体" w:hAnsi="宋体" w:cs="宋体"/>
                <w:color w:val="000000"/>
                <w:kern w:val="0"/>
                <w:szCs w:val="21"/>
                <w:lang w:eastAsia="zh-CN"/>
              </w:rPr>
              <w:t>。</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default" w:eastAsia="宋体"/>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0.5</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bCs/>
                <w:color w:val="000000" w:themeColor="text1"/>
                <w:szCs w:val="21"/>
                <w14:textFill>
                  <w14:solidFill>
                    <w14:schemeClr w14:val="tx1"/>
                  </w14:solidFill>
                </w14:textFill>
              </w:rPr>
            </w:pPr>
            <w:r>
              <w:rPr>
                <w:rFonts w:hint="eastAsia"/>
                <w:color w:val="000000"/>
                <w:szCs w:val="21"/>
                <w:lang w:val="en-US" w:eastAsia="zh-CN"/>
              </w:rPr>
              <w:t>微课程</w:t>
            </w:r>
          </w:p>
        </w:tc>
      </w:tr>
      <w:tr>
        <w:tblPrEx>
          <w:tblLayout w:type="fixed"/>
          <w:tblCellMar>
            <w:top w:w="0" w:type="dxa"/>
            <w:left w:w="108" w:type="dxa"/>
            <w:bottom w:w="0" w:type="dxa"/>
            <w:right w:w="108" w:type="dxa"/>
          </w:tblCellMar>
        </w:tblPrEx>
        <w:trPr>
          <w:trHeight w:val="1184"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14</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公务员素质能力培养 第2讲 过硬的政治素养和政治鉴别能力</w:t>
            </w:r>
          </w:p>
        </w:tc>
        <w:tc>
          <w:tcPr>
            <w:tcW w:w="8788"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hint="eastAsia" w:eastAsia="宋体"/>
                <w:bCs/>
                <w:color w:val="000000" w:themeColor="text1"/>
                <w:szCs w:val="21"/>
                <w:lang w:val="en-US" w:eastAsia="zh-CN"/>
                <w14:textFill>
                  <w14:solidFill>
                    <w14:schemeClr w14:val="tx1"/>
                  </w14:solidFill>
                </w14:textFill>
              </w:rPr>
            </w:pPr>
            <w:r>
              <w:rPr>
                <w:rFonts w:hint="eastAsia" w:ascii="宋体" w:hAnsi="宋体" w:cs="宋体"/>
                <w:color w:val="000000"/>
                <w:kern w:val="0"/>
                <w:szCs w:val="21"/>
              </w:rPr>
              <w:t>首都师范大学马克思主义学院教授石国亮</w:t>
            </w:r>
            <w:r>
              <w:rPr>
                <w:rFonts w:hint="eastAsia" w:ascii="宋体" w:hAnsi="宋体" w:cs="宋体"/>
                <w:color w:val="000000"/>
                <w:kern w:val="0"/>
                <w:szCs w:val="21"/>
                <w:lang w:val="en-US" w:eastAsia="zh-CN"/>
              </w:rPr>
              <w:t>主讲。</w:t>
            </w:r>
          </w:p>
          <w:p>
            <w:pPr>
              <w:spacing w:line="240" w:lineRule="auto"/>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课程内容：</w:t>
            </w:r>
            <w:r>
              <w:rPr>
                <w:rFonts w:hint="eastAsia"/>
                <w:bCs/>
                <w:color w:val="000000" w:themeColor="text1"/>
                <w:szCs w:val="21"/>
                <w:lang w:val="en-US" w:eastAsia="zh-CN"/>
                <w14:textFill>
                  <w14:solidFill>
                    <w14:schemeClr w14:val="tx1"/>
                  </w14:solidFill>
                </w14:textFill>
              </w:rPr>
              <w:t>本课程详细介绍了</w:t>
            </w:r>
            <w:r>
              <w:rPr>
                <w:rFonts w:hint="eastAsia" w:ascii="宋体" w:hAnsi="宋体" w:cs="宋体"/>
                <w:color w:val="000000"/>
                <w:kern w:val="0"/>
                <w:szCs w:val="21"/>
              </w:rPr>
              <w:t>过硬的政治素质和政治鉴别能力</w:t>
            </w:r>
            <w:r>
              <w:rPr>
                <w:rFonts w:hint="eastAsia" w:ascii="宋体" w:hAnsi="宋体" w:cs="宋体"/>
                <w:color w:val="000000"/>
                <w:kern w:val="0"/>
                <w:szCs w:val="21"/>
                <w:lang w:val="en-US" w:eastAsia="zh-CN"/>
              </w:rPr>
              <w:t>的含义。</w:t>
            </w:r>
          </w:p>
        </w:tc>
        <w:tc>
          <w:tcPr>
            <w:tcW w:w="1100"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hint="default" w:eastAsia="宋体"/>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0.5</w:t>
            </w:r>
          </w:p>
        </w:tc>
        <w:tc>
          <w:tcPr>
            <w:tcW w:w="984"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bCs/>
                <w:color w:val="000000" w:themeColor="text1"/>
                <w:szCs w:val="21"/>
                <w14:textFill>
                  <w14:solidFill>
                    <w14:schemeClr w14:val="tx1"/>
                  </w14:solidFill>
                </w14:textFill>
              </w:rPr>
            </w:pPr>
            <w:r>
              <w:rPr>
                <w:rFonts w:hint="eastAsia"/>
                <w:color w:val="000000"/>
                <w:szCs w:val="21"/>
                <w:lang w:val="en-US" w:eastAsia="zh-CN"/>
              </w:rPr>
              <w:t>微课程</w:t>
            </w:r>
          </w:p>
        </w:tc>
      </w:tr>
      <w:tr>
        <w:tblPrEx>
          <w:tblLayout w:type="fixed"/>
          <w:tblCellMar>
            <w:top w:w="0" w:type="dxa"/>
            <w:left w:w="108" w:type="dxa"/>
            <w:bottom w:w="0" w:type="dxa"/>
            <w:right w:w="108" w:type="dxa"/>
          </w:tblCellMar>
        </w:tblPrEx>
        <w:trPr>
          <w:trHeight w:val="1549"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15</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公务员素质能力培养 第3讲 良好的道德品质和模范遵纪守法的自觉</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hint="eastAsia" w:eastAsia="宋体"/>
                <w:bCs/>
                <w:color w:val="000000" w:themeColor="text1"/>
                <w:szCs w:val="21"/>
                <w:lang w:val="en-US" w:eastAsia="zh-CN"/>
                <w14:textFill>
                  <w14:solidFill>
                    <w14:schemeClr w14:val="tx1"/>
                  </w14:solidFill>
                </w14:textFill>
              </w:rPr>
            </w:pPr>
            <w:r>
              <w:rPr>
                <w:rFonts w:hint="eastAsia" w:ascii="宋体" w:hAnsi="宋体" w:cs="宋体"/>
                <w:color w:val="000000"/>
                <w:kern w:val="0"/>
                <w:szCs w:val="21"/>
              </w:rPr>
              <w:t>首都师范大学马克思主义学院教授石国亮</w:t>
            </w:r>
            <w:r>
              <w:rPr>
                <w:rFonts w:hint="eastAsia" w:ascii="宋体" w:hAnsi="宋体" w:cs="宋体"/>
                <w:color w:val="000000"/>
                <w:kern w:val="0"/>
                <w:szCs w:val="21"/>
                <w:lang w:val="en-US" w:eastAsia="zh-CN"/>
              </w:rPr>
              <w:t>主讲。</w:t>
            </w:r>
          </w:p>
          <w:p>
            <w:pPr>
              <w:spacing w:line="240" w:lineRule="auto"/>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课程内容：</w:t>
            </w:r>
            <w:r>
              <w:rPr>
                <w:rFonts w:hint="eastAsia"/>
                <w:bCs/>
                <w:color w:val="000000" w:themeColor="text1"/>
                <w:szCs w:val="21"/>
                <w:lang w:val="en-US" w:eastAsia="zh-CN"/>
                <w14:textFill>
                  <w14:solidFill>
                    <w14:schemeClr w14:val="tx1"/>
                  </w14:solidFill>
                </w14:textFill>
              </w:rPr>
              <w:t>本课程详细介绍了</w:t>
            </w:r>
            <w:r>
              <w:rPr>
                <w:rFonts w:hint="eastAsia" w:ascii="宋体" w:hAnsi="宋体" w:cs="宋体"/>
                <w:color w:val="000000"/>
                <w:kern w:val="0"/>
                <w:szCs w:val="21"/>
              </w:rPr>
              <w:t>良好的道德品质和模范遵纪守法的自觉</w:t>
            </w:r>
            <w:r>
              <w:rPr>
                <w:rFonts w:hint="eastAsia" w:ascii="宋体" w:hAnsi="宋体" w:cs="宋体"/>
                <w:color w:val="000000"/>
                <w:kern w:val="0"/>
                <w:szCs w:val="21"/>
                <w:lang w:val="en-US" w:eastAsia="zh-CN"/>
              </w:rPr>
              <w:t>的含义。</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default" w:eastAsia="宋体"/>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0.5</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bCs/>
                <w:color w:val="000000" w:themeColor="text1"/>
                <w:szCs w:val="21"/>
                <w14:textFill>
                  <w14:solidFill>
                    <w14:schemeClr w14:val="tx1"/>
                  </w14:solidFill>
                </w14:textFill>
              </w:rPr>
            </w:pPr>
            <w:r>
              <w:rPr>
                <w:rFonts w:hint="eastAsia"/>
                <w:color w:val="000000"/>
                <w:szCs w:val="21"/>
                <w:lang w:val="en-US" w:eastAsia="zh-CN"/>
              </w:rPr>
              <w:t>微课程</w:t>
            </w:r>
          </w:p>
        </w:tc>
      </w:tr>
      <w:tr>
        <w:tblPrEx>
          <w:tblLayout w:type="fixed"/>
          <w:tblCellMar>
            <w:top w:w="0" w:type="dxa"/>
            <w:left w:w="108" w:type="dxa"/>
            <w:bottom w:w="0" w:type="dxa"/>
            <w:right w:w="108" w:type="dxa"/>
          </w:tblCellMar>
        </w:tblPrEx>
        <w:trPr>
          <w:trHeight w:val="1579"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16</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优先发展农业农村，全面推进乡村振兴</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hint="default"/>
                <w:bCs/>
                <w:color w:val="000000" w:themeColor="text1"/>
                <w:szCs w:val="21"/>
                <w:lang w:val="en-US"/>
                <w14:textFill>
                  <w14:solidFill>
                    <w14:schemeClr w14:val="tx1"/>
                  </w14:solidFill>
                </w14:textFill>
              </w:rPr>
            </w:pPr>
            <w:r>
              <w:rPr>
                <w:rFonts w:hint="eastAsia" w:ascii="宋体" w:hAnsi="宋体" w:eastAsia="宋体" w:cs="宋体"/>
                <w:i w:val="0"/>
                <w:color w:val="000000"/>
                <w:kern w:val="0"/>
                <w:sz w:val="22"/>
                <w:szCs w:val="22"/>
                <w:u w:val="none"/>
                <w:lang w:val="en-US" w:eastAsia="zh-CN" w:bidi="ar"/>
              </w:rPr>
              <w:t>中国农业大学原校长柯炳生</w:t>
            </w:r>
            <w:r>
              <w:rPr>
                <w:rFonts w:hint="eastAsia" w:ascii="宋体" w:hAnsi="宋体" w:cs="宋体"/>
                <w:i w:val="0"/>
                <w:color w:val="000000"/>
                <w:kern w:val="0"/>
                <w:sz w:val="22"/>
                <w:szCs w:val="22"/>
                <w:u w:val="none"/>
                <w:lang w:val="en-US" w:eastAsia="zh-CN" w:bidi="ar"/>
              </w:rPr>
              <w:t>主讲。</w:t>
            </w:r>
          </w:p>
          <w:p>
            <w:pPr>
              <w:spacing w:line="240" w:lineRule="auto"/>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课程内容：</w:t>
            </w:r>
            <w:r>
              <w:rPr>
                <w:rFonts w:hint="eastAsia" w:ascii="宋体" w:hAnsi="宋体" w:cs="宋体"/>
                <w:color w:val="000000"/>
                <w:kern w:val="0"/>
                <w:szCs w:val="21"/>
              </w:rPr>
              <w:t>全面解读谋划“十四五”时期“三农工作”发展方略，深入阐释实施乡村建设行动策略。</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default" w:eastAsia="宋体"/>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3</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bCs/>
                <w:color w:val="000000" w:themeColor="text1"/>
                <w:szCs w:val="21"/>
                <w14:textFill>
                  <w14:solidFill>
                    <w14:schemeClr w14:val="tx1"/>
                  </w14:solidFill>
                </w14:textFill>
              </w:rPr>
            </w:pPr>
            <w:r>
              <w:rPr>
                <w:rFonts w:hint="eastAsia"/>
                <w:color w:val="000000"/>
                <w:szCs w:val="21"/>
                <w:lang w:val="en-US" w:eastAsia="zh-CN"/>
              </w:rPr>
              <w:t>单视频课程</w:t>
            </w:r>
          </w:p>
        </w:tc>
      </w:tr>
      <w:tr>
        <w:tblPrEx>
          <w:tblLayout w:type="fixed"/>
          <w:tblCellMar>
            <w:top w:w="0" w:type="dxa"/>
            <w:left w:w="108" w:type="dxa"/>
            <w:bottom w:w="0" w:type="dxa"/>
            <w:right w:w="108" w:type="dxa"/>
          </w:tblCellMar>
        </w:tblPrEx>
        <w:trPr>
          <w:trHeight w:val="1186"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17</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加快发展现代产业体系，推动经济体系优化升级</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hint="default"/>
                <w:bCs/>
                <w:color w:val="000000" w:themeColor="text1"/>
                <w:szCs w:val="21"/>
                <w:lang w:val="en-US"/>
                <w14:textFill>
                  <w14:solidFill>
                    <w14:schemeClr w14:val="tx1"/>
                  </w14:solidFill>
                </w14:textFill>
              </w:rPr>
            </w:pPr>
            <w:r>
              <w:rPr>
                <w:rFonts w:hint="eastAsia" w:ascii="宋体" w:hAnsi="宋体" w:eastAsia="宋体" w:cs="宋体"/>
                <w:i w:val="0"/>
                <w:color w:val="000000"/>
                <w:kern w:val="0"/>
                <w:sz w:val="22"/>
                <w:szCs w:val="22"/>
                <w:u w:val="none"/>
                <w:lang w:val="en-US" w:eastAsia="zh-CN" w:bidi="ar"/>
              </w:rPr>
              <w:t>国家发改委宏观院产业所产业结构与政策室副主任盛朝迅</w:t>
            </w:r>
            <w:r>
              <w:rPr>
                <w:rFonts w:hint="eastAsia" w:ascii="宋体" w:hAnsi="宋体" w:cs="宋体"/>
                <w:i w:val="0"/>
                <w:color w:val="000000"/>
                <w:kern w:val="0"/>
                <w:sz w:val="22"/>
                <w:szCs w:val="22"/>
                <w:u w:val="none"/>
                <w:lang w:val="en-US" w:eastAsia="zh-CN" w:bidi="ar"/>
              </w:rPr>
              <w:t>主讲。</w:t>
            </w:r>
          </w:p>
          <w:p>
            <w:pPr>
              <w:spacing w:line="240" w:lineRule="auto"/>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课程内容：</w:t>
            </w:r>
            <w:r>
              <w:rPr>
                <w:rFonts w:hint="eastAsia" w:ascii="宋体" w:hAnsi="宋体" w:cs="宋体"/>
                <w:color w:val="000000"/>
                <w:kern w:val="0"/>
                <w:szCs w:val="21"/>
              </w:rPr>
              <w:t>阐述“十四五”时期如何坚持把发展经济着力点放在实体经济上，怎样培优做强重点产业，推进产业基础高级化和产业链现代化，推动经济体系优化升级。</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default" w:eastAsia="宋体"/>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3</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bCs/>
                <w:color w:val="000000" w:themeColor="text1"/>
                <w:szCs w:val="21"/>
                <w14:textFill>
                  <w14:solidFill>
                    <w14:schemeClr w14:val="tx1"/>
                  </w14:solidFill>
                </w14:textFill>
              </w:rPr>
            </w:pPr>
            <w:r>
              <w:rPr>
                <w:rFonts w:hint="eastAsia"/>
                <w:color w:val="000000"/>
                <w:szCs w:val="21"/>
                <w:lang w:val="en-US" w:eastAsia="zh-CN"/>
              </w:rPr>
              <w:t>单视频课程</w:t>
            </w:r>
          </w:p>
        </w:tc>
      </w:tr>
      <w:tr>
        <w:tblPrEx>
          <w:tblLayout w:type="fixed"/>
          <w:tblCellMar>
            <w:top w:w="0" w:type="dxa"/>
            <w:left w:w="108" w:type="dxa"/>
            <w:bottom w:w="0" w:type="dxa"/>
            <w:right w:w="108" w:type="dxa"/>
          </w:tblCellMar>
        </w:tblPrEx>
        <w:trPr>
          <w:trHeight w:val="1120"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18</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优化国土空间布局，推进区域协调发展和新型城镇化</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965"/>
              </w:tabs>
              <w:spacing w:line="240" w:lineRule="auto"/>
              <w:rPr>
                <w:rFonts w:hint="default"/>
                <w:bCs/>
                <w:color w:val="000000" w:themeColor="text1"/>
                <w:szCs w:val="21"/>
                <w:lang w:val="en-US"/>
                <w14:textFill>
                  <w14:solidFill>
                    <w14:schemeClr w14:val="tx1"/>
                  </w14:solidFill>
                </w14:textFill>
              </w:rPr>
            </w:pPr>
            <w:r>
              <w:rPr>
                <w:rFonts w:hint="eastAsia" w:ascii="宋体" w:hAnsi="宋体" w:eastAsia="宋体" w:cs="宋体"/>
                <w:i w:val="0"/>
                <w:color w:val="000000"/>
                <w:kern w:val="0"/>
                <w:sz w:val="22"/>
                <w:szCs w:val="22"/>
                <w:u w:val="none"/>
                <w:lang w:val="en-US" w:eastAsia="zh-CN" w:bidi="ar"/>
              </w:rPr>
              <w:t>中国社科院工业经济研究所区域经济研究室主任陈耀</w:t>
            </w:r>
            <w:r>
              <w:rPr>
                <w:rFonts w:hint="eastAsia" w:ascii="宋体" w:hAnsi="宋体" w:cs="宋体"/>
                <w:i w:val="0"/>
                <w:color w:val="000000"/>
                <w:kern w:val="0"/>
                <w:sz w:val="22"/>
                <w:szCs w:val="22"/>
                <w:u w:val="none"/>
                <w:lang w:val="en-US" w:eastAsia="zh-CN" w:bidi="ar"/>
              </w:rPr>
              <w:t>主讲。</w:t>
            </w:r>
          </w:p>
          <w:p>
            <w:pPr>
              <w:tabs>
                <w:tab w:val="left" w:pos="965"/>
              </w:tabs>
              <w:spacing w:line="240" w:lineRule="auto"/>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课程内容：</w:t>
            </w:r>
            <w:r>
              <w:rPr>
                <w:rFonts w:hint="eastAsia" w:ascii="宋体" w:hAnsi="宋体" w:cs="宋体"/>
                <w:color w:val="000000"/>
                <w:kern w:val="0"/>
                <w:szCs w:val="21"/>
              </w:rPr>
              <w:t>围绕国土空间作为一切发展活动的载体，必须以推动高质量发展为主题，为实现高质量发展提供根本保证，全面分析解读“十四五”时期如何构建高质量发展的空间布局。</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default" w:eastAsia="宋体"/>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4.5</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eastAsia="宋体"/>
                <w:bCs/>
                <w:color w:val="000000" w:themeColor="text1"/>
                <w:szCs w:val="21"/>
                <w:lang w:eastAsia="zh-CN"/>
                <w14:textFill>
                  <w14:solidFill>
                    <w14:schemeClr w14:val="tx1"/>
                  </w14:solidFill>
                </w14:textFill>
              </w:rPr>
            </w:pPr>
            <w:r>
              <w:rPr>
                <w:rFonts w:hint="eastAsia"/>
                <w:color w:val="000000"/>
                <w:szCs w:val="21"/>
                <w:lang w:val="en-US" w:eastAsia="zh-CN"/>
              </w:rPr>
              <w:t>单视频课程</w:t>
            </w:r>
          </w:p>
        </w:tc>
      </w:tr>
      <w:tr>
        <w:tblPrEx>
          <w:tblLayout w:type="fixed"/>
          <w:tblCellMar>
            <w:top w:w="0" w:type="dxa"/>
            <w:left w:w="108" w:type="dxa"/>
            <w:bottom w:w="0" w:type="dxa"/>
            <w:right w:w="108" w:type="dxa"/>
          </w:tblCellMar>
        </w:tblPrEx>
        <w:trPr>
          <w:trHeight w:val="612" w:hRule="atLeast"/>
          <w:jc w:val="center"/>
        </w:trPr>
        <w:tc>
          <w:tcPr>
            <w:tcW w:w="1510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hint="eastAsia"/>
                <w:bCs/>
                <w:color w:val="000000" w:themeColor="text1"/>
                <w:szCs w:val="21"/>
                <w14:textFill>
                  <w14:solidFill>
                    <w14:schemeClr w14:val="tx1"/>
                  </w14:solidFill>
                </w14:textFill>
              </w:rPr>
            </w:pPr>
            <w:r>
              <w:rPr>
                <w:rFonts w:hint="eastAsia"/>
                <w:b/>
                <w:bCs w:val="0"/>
                <w:color w:val="000000" w:themeColor="text1"/>
                <w:szCs w:val="21"/>
                <w:lang w:val="en-US" w:eastAsia="zh-CN"/>
                <w14:textFill>
                  <w14:solidFill>
                    <w14:schemeClr w14:val="tx1"/>
                  </w14:solidFill>
                </w14:textFill>
              </w:rPr>
              <w:t>四</w:t>
            </w:r>
            <w:r>
              <w:rPr>
                <w:rFonts w:hint="eastAsia"/>
                <w:b/>
                <w:bCs w:val="0"/>
                <w:color w:val="000000" w:themeColor="text1"/>
                <w:szCs w:val="21"/>
                <w14:textFill>
                  <w14:solidFill>
                    <w14:schemeClr w14:val="tx1"/>
                  </w14:solidFill>
                </w14:textFill>
              </w:rPr>
              <w:t>、综合知识培训课程（共</w:t>
            </w:r>
            <w:r>
              <w:rPr>
                <w:rFonts w:hint="eastAsia"/>
                <w:b/>
                <w:bCs w:val="0"/>
                <w:color w:val="000000" w:themeColor="text1"/>
                <w:szCs w:val="21"/>
                <w:lang w:val="en-US" w:eastAsia="zh-CN"/>
                <w14:textFill>
                  <w14:solidFill>
                    <w14:schemeClr w14:val="tx1"/>
                  </w14:solidFill>
                </w14:textFill>
              </w:rPr>
              <w:t>12</w:t>
            </w:r>
            <w:r>
              <w:rPr>
                <w:rFonts w:hint="eastAsia"/>
                <w:b/>
                <w:bCs w:val="0"/>
                <w:color w:val="000000" w:themeColor="text1"/>
                <w:szCs w:val="21"/>
                <w14:textFill>
                  <w14:solidFill>
                    <w14:schemeClr w14:val="tx1"/>
                  </w14:solidFill>
                </w14:textFill>
              </w:rPr>
              <w:t>门课程、</w:t>
            </w:r>
            <w:r>
              <w:rPr>
                <w:rFonts w:hint="eastAsia"/>
                <w:b/>
                <w:bCs w:val="0"/>
                <w:color w:val="000000" w:themeColor="text1"/>
                <w:szCs w:val="21"/>
                <w:lang w:val="en-US" w:eastAsia="zh-CN"/>
                <w14:textFill>
                  <w14:solidFill>
                    <w14:schemeClr w14:val="tx1"/>
                  </w14:solidFill>
                </w14:textFill>
              </w:rPr>
              <w:t>6</w:t>
            </w:r>
            <w:r>
              <w:rPr>
                <w:rFonts w:hint="eastAsia"/>
                <w:b/>
                <w:bCs w:val="0"/>
                <w:color w:val="000000" w:themeColor="text1"/>
                <w:szCs w:val="21"/>
                <w14:textFill>
                  <w14:solidFill>
                    <w14:schemeClr w14:val="tx1"/>
                  </w14:solidFill>
                </w14:textFill>
              </w:rPr>
              <w:t>个学时，其中微课程</w:t>
            </w:r>
            <w:r>
              <w:rPr>
                <w:rFonts w:hint="eastAsia"/>
                <w:b/>
                <w:bCs w:val="0"/>
                <w:color w:val="000000" w:themeColor="text1"/>
                <w:szCs w:val="21"/>
                <w:lang w:val="en-US" w:eastAsia="zh-CN"/>
                <w14:textFill>
                  <w14:solidFill>
                    <w14:schemeClr w14:val="tx1"/>
                  </w14:solidFill>
                </w14:textFill>
              </w:rPr>
              <w:t>12</w:t>
            </w:r>
            <w:r>
              <w:rPr>
                <w:rFonts w:hint="eastAsia"/>
                <w:b/>
                <w:bCs w:val="0"/>
                <w:color w:val="000000" w:themeColor="text1"/>
                <w:szCs w:val="21"/>
                <w14:textFill>
                  <w14:solidFill>
                    <w14:schemeClr w14:val="tx1"/>
                  </w14:solidFill>
                </w14:textFill>
              </w:rPr>
              <w:t>门）</w:t>
            </w:r>
          </w:p>
        </w:tc>
      </w:tr>
      <w:tr>
        <w:tblPrEx>
          <w:tblLayout w:type="fixed"/>
          <w:tblCellMar>
            <w:top w:w="0" w:type="dxa"/>
            <w:left w:w="108" w:type="dxa"/>
            <w:bottom w:w="0" w:type="dxa"/>
            <w:right w:w="108" w:type="dxa"/>
          </w:tblCellMar>
        </w:tblPrEx>
        <w:trPr>
          <w:trHeight w:val="1574"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themeColor="text1"/>
                <w:sz w:val="22"/>
                <w:szCs w:val="22"/>
                <w14:textFill>
                  <w14:solidFill>
                    <w14:schemeClr w14:val="tx1"/>
                  </w14:solidFill>
                </w14:textFill>
              </w:rPr>
            </w:pPr>
            <w:r>
              <w:rPr>
                <w:rFonts w:hint="eastAsia" w:ascii="宋体" w:hAnsi="宋体" w:eastAsia="宋体" w:cs="宋体"/>
                <w:i w:val="0"/>
                <w:color w:val="000000"/>
                <w:kern w:val="0"/>
                <w:sz w:val="22"/>
                <w:szCs w:val="22"/>
                <w:u w:val="none"/>
                <w:lang w:val="en-US" w:eastAsia="zh-CN" w:bidi="ar"/>
              </w:rPr>
              <w:t>1</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大化流行、生生不息的天人智慧（上）</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hint="eastAsia" w:ascii="宋体" w:hAnsi="宋体" w:cs="宋体"/>
                <w:color w:val="000000"/>
                <w:kern w:val="0"/>
                <w:szCs w:val="21"/>
                <w:lang w:val="en-US" w:eastAsia="zh-CN"/>
              </w:rPr>
            </w:pPr>
            <w:r>
              <w:rPr>
                <w:rFonts w:hint="eastAsia" w:ascii="宋体" w:hAnsi="宋体" w:cs="宋体"/>
                <w:color w:val="000000"/>
                <w:kern w:val="0"/>
                <w:szCs w:val="21"/>
              </w:rPr>
              <w:t>中共中央党校（国家行政学院）哲学教研部教授、博士生导师王杰</w:t>
            </w:r>
            <w:r>
              <w:rPr>
                <w:rFonts w:hint="eastAsia" w:ascii="宋体" w:hAnsi="宋体" w:cs="宋体"/>
                <w:color w:val="000000"/>
                <w:kern w:val="0"/>
                <w:szCs w:val="21"/>
                <w:lang w:val="en-US" w:eastAsia="zh-CN"/>
              </w:rPr>
              <w:t>主讲。</w:t>
            </w:r>
          </w:p>
          <w:p>
            <w:pPr>
              <w:spacing w:line="240" w:lineRule="auto"/>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课程内容：本课程</w:t>
            </w:r>
            <w:r>
              <w:rPr>
                <w:rFonts w:hint="eastAsia"/>
                <w:bCs/>
                <w:color w:val="000000" w:themeColor="text1"/>
                <w:szCs w:val="21"/>
                <w:lang w:val="en-US" w:eastAsia="zh-CN"/>
                <w14:textFill>
                  <w14:solidFill>
                    <w14:schemeClr w14:val="tx1"/>
                  </w14:solidFill>
                </w14:textFill>
              </w:rPr>
              <w:t>分析了</w:t>
            </w:r>
            <w:r>
              <w:rPr>
                <w:rFonts w:hint="eastAsia" w:ascii="宋体" w:hAnsi="宋体" w:cs="宋体"/>
                <w:color w:val="000000"/>
                <w:kern w:val="0"/>
                <w:szCs w:val="21"/>
              </w:rPr>
              <w:t>大化流行、生生不息的天人智慧</w:t>
            </w:r>
            <w:r>
              <w:rPr>
                <w:rFonts w:hint="eastAsia" w:ascii="宋体" w:hAnsi="宋体" w:cs="宋体"/>
                <w:color w:val="000000"/>
                <w:kern w:val="0"/>
                <w:szCs w:val="21"/>
                <w:lang w:val="en-US" w:eastAsia="zh-CN"/>
              </w:rPr>
              <w:t>的含义。</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0.5</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bCs/>
                <w:color w:val="000000" w:themeColor="text1"/>
                <w:szCs w:val="21"/>
                <w14:textFill>
                  <w14:solidFill>
                    <w14:schemeClr w14:val="tx1"/>
                  </w14:solidFill>
                </w14:textFill>
              </w:rPr>
            </w:pPr>
            <w:r>
              <w:rPr>
                <w:rFonts w:hint="eastAsia"/>
                <w:bCs/>
                <w:color w:val="000000" w:themeColor="text1"/>
                <w:szCs w:val="21"/>
                <w:lang w:eastAsia="zh-CN"/>
                <w14:textFill>
                  <w14:solidFill>
                    <w14:schemeClr w14:val="tx1"/>
                  </w14:solidFill>
                </w14:textFill>
              </w:rPr>
              <w:t>微课程</w:t>
            </w:r>
          </w:p>
        </w:tc>
      </w:tr>
      <w:tr>
        <w:tblPrEx>
          <w:tblLayout w:type="fixed"/>
          <w:tblCellMar>
            <w:top w:w="0" w:type="dxa"/>
            <w:left w:w="108" w:type="dxa"/>
            <w:bottom w:w="0" w:type="dxa"/>
            <w:right w:w="108" w:type="dxa"/>
          </w:tblCellMar>
        </w:tblPrEx>
        <w:trPr>
          <w:trHeight w:val="1334"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themeColor="text1"/>
                <w:sz w:val="22"/>
                <w:szCs w:val="22"/>
                <w14:textFill>
                  <w14:solidFill>
                    <w14:schemeClr w14:val="tx1"/>
                  </w14:solidFill>
                </w14:textFill>
              </w:rPr>
            </w:pPr>
            <w:r>
              <w:rPr>
                <w:rFonts w:hint="eastAsia" w:ascii="宋体" w:hAnsi="宋体" w:eastAsia="宋体" w:cs="宋体"/>
                <w:i w:val="0"/>
                <w:color w:val="000000"/>
                <w:kern w:val="0"/>
                <w:sz w:val="22"/>
                <w:szCs w:val="22"/>
                <w:u w:val="none"/>
                <w:lang w:val="en-US" w:eastAsia="zh-CN" w:bidi="ar"/>
              </w:rPr>
              <w:t>2</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大化流行、生生不息的天人智慧（下）</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hint="eastAsia" w:ascii="宋体" w:hAnsi="宋体" w:cs="宋体"/>
                <w:color w:val="000000"/>
                <w:kern w:val="0"/>
                <w:szCs w:val="21"/>
                <w:lang w:val="en-US" w:eastAsia="zh-CN"/>
              </w:rPr>
            </w:pPr>
            <w:r>
              <w:rPr>
                <w:rFonts w:hint="eastAsia" w:ascii="宋体" w:hAnsi="宋体" w:cs="宋体"/>
                <w:color w:val="000000"/>
                <w:kern w:val="0"/>
                <w:szCs w:val="21"/>
              </w:rPr>
              <w:t>中共中央党校（国家行政学院）哲学教研部教授、博士生导师王杰</w:t>
            </w:r>
            <w:r>
              <w:rPr>
                <w:rFonts w:hint="eastAsia" w:ascii="宋体" w:hAnsi="宋体" w:cs="宋体"/>
                <w:color w:val="000000"/>
                <w:kern w:val="0"/>
                <w:szCs w:val="21"/>
                <w:lang w:val="en-US" w:eastAsia="zh-CN"/>
              </w:rPr>
              <w:t>主讲。</w:t>
            </w:r>
          </w:p>
          <w:p>
            <w:pPr>
              <w:spacing w:line="240" w:lineRule="auto"/>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课程内容：本课程</w:t>
            </w:r>
            <w:r>
              <w:rPr>
                <w:rFonts w:hint="eastAsia"/>
                <w:bCs/>
                <w:color w:val="000000" w:themeColor="text1"/>
                <w:szCs w:val="21"/>
                <w:lang w:val="en-US" w:eastAsia="zh-CN"/>
                <w14:textFill>
                  <w14:solidFill>
                    <w14:schemeClr w14:val="tx1"/>
                  </w14:solidFill>
                </w14:textFill>
              </w:rPr>
              <w:t>分析了</w:t>
            </w:r>
            <w:r>
              <w:rPr>
                <w:rFonts w:hint="eastAsia" w:ascii="宋体" w:hAnsi="宋体" w:cs="宋体"/>
                <w:color w:val="000000"/>
                <w:kern w:val="0"/>
                <w:szCs w:val="21"/>
              </w:rPr>
              <w:t>大化流行、生生不息的天人智慧</w:t>
            </w:r>
            <w:r>
              <w:rPr>
                <w:rFonts w:hint="eastAsia" w:ascii="宋体" w:hAnsi="宋体" w:cs="宋体"/>
                <w:color w:val="000000"/>
                <w:kern w:val="0"/>
                <w:szCs w:val="21"/>
                <w:lang w:val="en-US" w:eastAsia="zh-CN"/>
              </w:rPr>
              <w:t>的含义。</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eastAsia="宋体"/>
                <w:bCs/>
                <w:color w:val="000000" w:themeColor="text1"/>
                <w:szCs w:val="21"/>
                <w:lang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0.5</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bCs/>
                <w:color w:val="000000" w:themeColor="text1"/>
                <w:szCs w:val="21"/>
                <w14:textFill>
                  <w14:solidFill>
                    <w14:schemeClr w14:val="tx1"/>
                  </w14:solidFill>
                </w14:textFill>
              </w:rPr>
            </w:pPr>
            <w:r>
              <w:rPr>
                <w:rFonts w:hint="eastAsia"/>
                <w:bCs/>
                <w:color w:val="000000" w:themeColor="text1"/>
                <w:szCs w:val="21"/>
                <w:lang w:eastAsia="zh-CN"/>
                <w14:textFill>
                  <w14:solidFill>
                    <w14:schemeClr w14:val="tx1"/>
                  </w14:solidFill>
                </w14:textFill>
              </w:rPr>
              <w:t>微课程</w:t>
            </w:r>
          </w:p>
        </w:tc>
      </w:tr>
      <w:tr>
        <w:tblPrEx>
          <w:tblLayout w:type="fixed"/>
          <w:tblCellMar>
            <w:top w:w="0" w:type="dxa"/>
            <w:left w:w="108" w:type="dxa"/>
            <w:bottom w:w="0" w:type="dxa"/>
            <w:right w:w="108" w:type="dxa"/>
          </w:tblCellMar>
        </w:tblPrEx>
        <w:trPr>
          <w:trHeight w:val="1122"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themeColor="text1"/>
                <w:sz w:val="22"/>
                <w:szCs w:val="22"/>
                <w14:textFill>
                  <w14:solidFill>
                    <w14:schemeClr w14:val="tx1"/>
                  </w14:solidFill>
                </w14:textFill>
              </w:rPr>
            </w:pPr>
            <w:r>
              <w:rPr>
                <w:rFonts w:hint="eastAsia" w:ascii="宋体" w:hAnsi="宋体" w:eastAsia="宋体" w:cs="宋体"/>
                <w:i w:val="0"/>
                <w:color w:val="000000"/>
                <w:kern w:val="0"/>
                <w:sz w:val="22"/>
                <w:szCs w:val="22"/>
                <w:u w:val="none"/>
                <w:lang w:val="en-US" w:eastAsia="zh-CN" w:bidi="ar"/>
              </w:rPr>
              <w:t>3</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仁民爱物、民胞物与的生态智慧（上）</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hint="eastAsia" w:ascii="宋体" w:hAnsi="宋体" w:cs="宋体"/>
                <w:color w:val="000000"/>
                <w:kern w:val="0"/>
                <w:szCs w:val="21"/>
                <w:lang w:val="en-US" w:eastAsia="zh-CN"/>
              </w:rPr>
            </w:pPr>
            <w:r>
              <w:rPr>
                <w:rFonts w:hint="eastAsia" w:ascii="宋体" w:hAnsi="宋体" w:cs="宋体"/>
                <w:color w:val="000000"/>
                <w:kern w:val="0"/>
                <w:szCs w:val="21"/>
              </w:rPr>
              <w:t>中共中央党校（国家行政学院）哲学教研部教授、博士生导师王杰</w:t>
            </w:r>
            <w:r>
              <w:rPr>
                <w:rFonts w:hint="eastAsia" w:ascii="宋体" w:hAnsi="宋体" w:cs="宋体"/>
                <w:color w:val="000000"/>
                <w:kern w:val="0"/>
                <w:szCs w:val="21"/>
                <w:lang w:val="en-US" w:eastAsia="zh-CN"/>
              </w:rPr>
              <w:t>主讲。</w:t>
            </w:r>
          </w:p>
          <w:p>
            <w:pPr>
              <w:spacing w:line="240" w:lineRule="auto"/>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课程内容：本课程</w:t>
            </w:r>
            <w:r>
              <w:rPr>
                <w:rFonts w:hint="eastAsia"/>
                <w:bCs/>
                <w:color w:val="000000" w:themeColor="text1"/>
                <w:szCs w:val="21"/>
                <w:lang w:val="en-US" w:eastAsia="zh-CN"/>
                <w14:textFill>
                  <w14:solidFill>
                    <w14:schemeClr w14:val="tx1"/>
                  </w14:solidFill>
                </w14:textFill>
              </w:rPr>
              <w:t>分析了</w:t>
            </w:r>
            <w:r>
              <w:rPr>
                <w:rFonts w:hint="eastAsia" w:ascii="宋体" w:hAnsi="宋体" w:cs="宋体"/>
                <w:color w:val="000000"/>
                <w:kern w:val="0"/>
                <w:szCs w:val="21"/>
              </w:rPr>
              <w:t>仁民爱物、民胞物与的生态智慧</w:t>
            </w:r>
            <w:r>
              <w:rPr>
                <w:rFonts w:hint="eastAsia" w:ascii="宋体" w:hAnsi="宋体" w:cs="宋体"/>
                <w:color w:val="000000"/>
                <w:kern w:val="0"/>
                <w:szCs w:val="21"/>
                <w:lang w:val="en-US" w:eastAsia="zh-CN"/>
              </w:rPr>
              <w:t>的含义。</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default" w:eastAsia="宋体"/>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0.5</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bCs/>
                <w:color w:val="000000" w:themeColor="text1"/>
                <w:szCs w:val="21"/>
                <w14:textFill>
                  <w14:solidFill>
                    <w14:schemeClr w14:val="tx1"/>
                  </w14:solidFill>
                </w14:textFill>
              </w:rPr>
            </w:pPr>
            <w:r>
              <w:rPr>
                <w:rFonts w:hint="eastAsia"/>
                <w:bCs/>
                <w:color w:val="000000" w:themeColor="text1"/>
                <w:szCs w:val="21"/>
                <w:lang w:eastAsia="zh-CN"/>
                <w14:textFill>
                  <w14:solidFill>
                    <w14:schemeClr w14:val="tx1"/>
                  </w14:solidFill>
                </w14:textFill>
              </w:rPr>
              <w:t>微课程</w:t>
            </w:r>
          </w:p>
        </w:tc>
      </w:tr>
      <w:tr>
        <w:tblPrEx>
          <w:tblLayout w:type="fixed"/>
          <w:tblCellMar>
            <w:top w:w="0" w:type="dxa"/>
            <w:left w:w="108" w:type="dxa"/>
            <w:bottom w:w="0" w:type="dxa"/>
            <w:right w:w="108" w:type="dxa"/>
          </w:tblCellMar>
        </w:tblPrEx>
        <w:trPr>
          <w:trHeight w:val="90"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themeColor="text1"/>
                <w:sz w:val="22"/>
                <w:szCs w:val="22"/>
                <w14:textFill>
                  <w14:solidFill>
                    <w14:schemeClr w14:val="tx1"/>
                  </w14:solidFill>
                </w14:textFill>
              </w:rPr>
            </w:pPr>
            <w:r>
              <w:rPr>
                <w:rFonts w:hint="eastAsia" w:ascii="宋体" w:hAnsi="宋体" w:eastAsia="宋体" w:cs="宋体"/>
                <w:i w:val="0"/>
                <w:color w:val="000000"/>
                <w:kern w:val="0"/>
                <w:sz w:val="22"/>
                <w:szCs w:val="22"/>
                <w:u w:val="none"/>
                <w:lang w:val="en-US" w:eastAsia="zh-CN" w:bidi="ar"/>
              </w:rPr>
              <w:t>4</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仁民爱物、民胞物与的生态智慧（中）</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hint="eastAsia" w:ascii="宋体" w:hAnsi="宋体" w:cs="宋体"/>
                <w:color w:val="000000"/>
                <w:kern w:val="0"/>
                <w:szCs w:val="21"/>
                <w:lang w:val="en-US" w:eastAsia="zh-CN"/>
              </w:rPr>
            </w:pPr>
            <w:r>
              <w:rPr>
                <w:rFonts w:hint="eastAsia" w:ascii="宋体" w:hAnsi="宋体" w:cs="宋体"/>
                <w:color w:val="000000"/>
                <w:kern w:val="0"/>
                <w:szCs w:val="21"/>
              </w:rPr>
              <w:t>中共中央党校（国家行政学院）哲学教研部教授、博士生导师王杰</w:t>
            </w:r>
            <w:r>
              <w:rPr>
                <w:rFonts w:hint="eastAsia" w:ascii="宋体" w:hAnsi="宋体" w:cs="宋体"/>
                <w:color w:val="000000"/>
                <w:kern w:val="0"/>
                <w:szCs w:val="21"/>
                <w:lang w:val="en-US" w:eastAsia="zh-CN"/>
              </w:rPr>
              <w:t>主讲。</w:t>
            </w:r>
          </w:p>
          <w:p>
            <w:pPr>
              <w:spacing w:line="240" w:lineRule="auto"/>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课程内容：本课程</w:t>
            </w:r>
            <w:r>
              <w:rPr>
                <w:rFonts w:hint="eastAsia"/>
                <w:bCs/>
                <w:color w:val="000000" w:themeColor="text1"/>
                <w:szCs w:val="21"/>
                <w:lang w:val="en-US" w:eastAsia="zh-CN"/>
                <w14:textFill>
                  <w14:solidFill>
                    <w14:schemeClr w14:val="tx1"/>
                  </w14:solidFill>
                </w14:textFill>
              </w:rPr>
              <w:t>分析了</w:t>
            </w:r>
            <w:r>
              <w:rPr>
                <w:rFonts w:hint="eastAsia" w:ascii="宋体" w:hAnsi="宋体" w:cs="宋体"/>
                <w:color w:val="000000"/>
                <w:kern w:val="0"/>
                <w:szCs w:val="21"/>
              </w:rPr>
              <w:t>仁民爱物、民胞物与的生态智慧</w:t>
            </w:r>
            <w:r>
              <w:rPr>
                <w:rFonts w:hint="eastAsia" w:ascii="宋体" w:hAnsi="宋体" w:cs="宋体"/>
                <w:color w:val="000000"/>
                <w:kern w:val="0"/>
                <w:szCs w:val="21"/>
                <w:lang w:val="en-US" w:eastAsia="zh-CN"/>
              </w:rPr>
              <w:t>的含义。</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default" w:eastAsia="宋体"/>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0.5</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eastAsia="宋体"/>
                <w:bCs/>
                <w:color w:val="000000" w:themeColor="text1"/>
                <w:szCs w:val="21"/>
                <w:lang w:eastAsia="zh-CN"/>
                <w14:textFill>
                  <w14:solidFill>
                    <w14:schemeClr w14:val="tx1"/>
                  </w14:solidFill>
                </w14:textFill>
              </w:rPr>
            </w:pPr>
            <w:r>
              <w:rPr>
                <w:rFonts w:hint="eastAsia"/>
                <w:bCs/>
                <w:color w:val="000000" w:themeColor="text1"/>
                <w:szCs w:val="21"/>
                <w:lang w:eastAsia="zh-CN"/>
                <w14:textFill>
                  <w14:solidFill>
                    <w14:schemeClr w14:val="tx1"/>
                  </w14:solidFill>
                </w14:textFill>
              </w:rPr>
              <w:t>微课程</w:t>
            </w:r>
          </w:p>
        </w:tc>
      </w:tr>
      <w:tr>
        <w:tblPrEx>
          <w:tblLayout w:type="fixed"/>
          <w:tblCellMar>
            <w:top w:w="0" w:type="dxa"/>
            <w:left w:w="108" w:type="dxa"/>
            <w:bottom w:w="0" w:type="dxa"/>
            <w:right w:w="108" w:type="dxa"/>
          </w:tblCellMar>
        </w:tblPrEx>
        <w:trPr>
          <w:trHeight w:val="754"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themeColor="text1"/>
                <w:sz w:val="22"/>
                <w:szCs w:val="22"/>
                <w14:textFill>
                  <w14:solidFill>
                    <w14:schemeClr w14:val="tx1"/>
                  </w14:solidFill>
                </w14:textFill>
              </w:rPr>
            </w:pPr>
            <w:r>
              <w:rPr>
                <w:rFonts w:hint="eastAsia" w:ascii="宋体" w:hAnsi="宋体" w:eastAsia="宋体" w:cs="宋体"/>
                <w:i w:val="0"/>
                <w:color w:val="000000"/>
                <w:kern w:val="0"/>
                <w:sz w:val="22"/>
                <w:szCs w:val="22"/>
                <w:u w:val="none"/>
                <w:lang w:val="en-US" w:eastAsia="zh-CN" w:bidi="ar"/>
              </w:rPr>
              <w:t>5</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仁民爱物、民胞物与的生态智慧（下）</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hint="eastAsia" w:ascii="宋体" w:hAnsi="宋体" w:cs="宋体"/>
                <w:color w:val="000000"/>
                <w:kern w:val="0"/>
                <w:szCs w:val="21"/>
                <w:lang w:val="en-US" w:eastAsia="zh-CN"/>
              </w:rPr>
            </w:pPr>
            <w:r>
              <w:rPr>
                <w:rFonts w:hint="eastAsia" w:ascii="宋体" w:hAnsi="宋体" w:cs="宋体"/>
                <w:color w:val="000000"/>
                <w:kern w:val="0"/>
                <w:szCs w:val="21"/>
              </w:rPr>
              <w:t>中共中央党校（国家行政学院）哲学教研部教授、博士生导师王杰</w:t>
            </w:r>
            <w:r>
              <w:rPr>
                <w:rFonts w:hint="eastAsia" w:ascii="宋体" w:hAnsi="宋体" w:cs="宋体"/>
                <w:color w:val="000000"/>
                <w:kern w:val="0"/>
                <w:szCs w:val="21"/>
                <w:lang w:val="en-US" w:eastAsia="zh-CN"/>
              </w:rPr>
              <w:t>主讲。</w:t>
            </w:r>
          </w:p>
          <w:p>
            <w:pPr>
              <w:spacing w:line="240" w:lineRule="auto"/>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课程内容：本课程</w:t>
            </w:r>
            <w:r>
              <w:rPr>
                <w:rFonts w:hint="eastAsia"/>
                <w:bCs/>
                <w:color w:val="000000" w:themeColor="text1"/>
                <w:szCs w:val="21"/>
                <w:lang w:val="en-US" w:eastAsia="zh-CN"/>
                <w14:textFill>
                  <w14:solidFill>
                    <w14:schemeClr w14:val="tx1"/>
                  </w14:solidFill>
                </w14:textFill>
              </w:rPr>
              <w:t>分析了</w:t>
            </w:r>
            <w:r>
              <w:rPr>
                <w:rFonts w:hint="eastAsia" w:ascii="宋体" w:hAnsi="宋体" w:cs="宋体"/>
                <w:color w:val="000000"/>
                <w:kern w:val="0"/>
                <w:szCs w:val="21"/>
              </w:rPr>
              <w:t>仁民爱物、民胞物与的生态智慧</w:t>
            </w:r>
            <w:r>
              <w:rPr>
                <w:rFonts w:hint="eastAsia" w:ascii="宋体" w:hAnsi="宋体" w:cs="宋体"/>
                <w:color w:val="000000"/>
                <w:kern w:val="0"/>
                <w:szCs w:val="21"/>
                <w:lang w:val="en-US" w:eastAsia="zh-CN"/>
              </w:rPr>
              <w:t>的含义。</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0.5</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bCs/>
                <w:color w:val="000000" w:themeColor="text1"/>
                <w:szCs w:val="21"/>
                <w14:textFill>
                  <w14:solidFill>
                    <w14:schemeClr w14:val="tx1"/>
                  </w14:solidFill>
                </w14:textFill>
              </w:rPr>
            </w:pPr>
            <w:r>
              <w:rPr>
                <w:rFonts w:hint="eastAsia"/>
                <w:bCs/>
                <w:color w:val="000000" w:themeColor="text1"/>
                <w:szCs w:val="21"/>
                <w:lang w:eastAsia="zh-CN"/>
                <w14:textFill>
                  <w14:solidFill>
                    <w14:schemeClr w14:val="tx1"/>
                  </w14:solidFill>
                </w14:textFill>
              </w:rPr>
              <w:t>微课程</w:t>
            </w:r>
          </w:p>
        </w:tc>
      </w:tr>
      <w:tr>
        <w:tblPrEx>
          <w:tblLayout w:type="fixed"/>
          <w:tblCellMar>
            <w:top w:w="0" w:type="dxa"/>
            <w:left w:w="108" w:type="dxa"/>
            <w:bottom w:w="0" w:type="dxa"/>
            <w:right w:w="108" w:type="dxa"/>
          </w:tblCellMar>
        </w:tblPrEx>
        <w:trPr>
          <w:trHeight w:val="849"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themeColor="text1"/>
                <w:sz w:val="22"/>
                <w:szCs w:val="22"/>
                <w14:textFill>
                  <w14:solidFill>
                    <w14:schemeClr w14:val="tx1"/>
                  </w14:solidFill>
                </w14:textFill>
              </w:rPr>
            </w:pPr>
            <w:r>
              <w:rPr>
                <w:rFonts w:hint="eastAsia" w:ascii="宋体" w:hAnsi="宋体" w:eastAsia="宋体" w:cs="宋体"/>
                <w:i w:val="0"/>
                <w:color w:val="000000"/>
                <w:kern w:val="0"/>
                <w:sz w:val="22"/>
                <w:szCs w:val="22"/>
                <w:u w:val="none"/>
                <w:lang w:val="en-US" w:eastAsia="zh-CN" w:bidi="ar"/>
              </w:rPr>
              <w:t>6</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群我和谐、人我和谐的人际智慧</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hint="eastAsia" w:ascii="宋体" w:hAnsi="宋体" w:cs="宋体"/>
                <w:color w:val="000000"/>
                <w:kern w:val="0"/>
                <w:szCs w:val="21"/>
                <w:lang w:val="en-US" w:eastAsia="zh-CN"/>
              </w:rPr>
            </w:pPr>
            <w:r>
              <w:rPr>
                <w:rFonts w:hint="eastAsia" w:ascii="宋体" w:hAnsi="宋体" w:cs="宋体"/>
                <w:color w:val="000000"/>
                <w:kern w:val="0"/>
                <w:szCs w:val="21"/>
              </w:rPr>
              <w:t>中共中央党校（国家行政学院）哲学教研部教授、博士生导师王杰</w:t>
            </w:r>
            <w:r>
              <w:rPr>
                <w:rFonts w:hint="eastAsia" w:ascii="宋体" w:hAnsi="宋体" w:cs="宋体"/>
                <w:color w:val="000000"/>
                <w:kern w:val="0"/>
                <w:szCs w:val="21"/>
                <w:lang w:val="en-US" w:eastAsia="zh-CN"/>
              </w:rPr>
              <w:t>主讲。</w:t>
            </w:r>
          </w:p>
          <w:p>
            <w:pPr>
              <w:spacing w:line="240" w:lineRule="auto"/>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课程内容：本课程</w:t>
            </w:r>
            <w:r>
              <w:rPr>
                <w:rFonts w:hint="eastAsia"/>
                <w:bCs/>
                <w:color w:val="000000" w:themeColor="text1"/>
                <w:szCs w:val="21"/>
                <w:lang w:val="en-US" w:eastAsia="zh-CN"/>
                <w14:textFill>
                  <w14:solidFill>
                    <w14:schemeClr w14:val="tx1"/>
                  </w14:solidFill>
                </w14:textFill>
              </w:rPr>
              <w:t>分析了</w:t>
            </w:r>
            <w:r>
              <w:rPr>
                <w:rFonts w:hint="eastAsia" w:ascii="宋体" w:hAnsi="宋体" w:cs="宋体"/>
                <w:color w:val="000000"/>
                <w:kern w:val="0"/>
                <w:szCs w:val="21"/>
              </w:rPr>
              <w:t>群我和谐、人我和谐的人际智慧</w:t>
            </w:r>
            <w:r>
              <w:rPr>
                <w:rFonts w:hint="eastAsia" w:ascii="宋体" w:hAnsi="宋体" w:cs="宋体"/>
                <w:color w:val="000000"/>
                <w:kern w:val="0"/>
                <w:szCs w:val="21"/>
                <w:lang w:val="en-US" w:eastAsia="zh-CN"/>
              </w:rPr>
              <w:t>的含义。</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0.5</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bCs/>
                <w:color w:val="000000" w:themeColor="text1"/>
                <w:szCs w:val="21"/>
                <w14:textFill>
                  <w14:solidFill>
                    <w14:schemeClr w14:val="tx1"/>
                  </w14:solidFill>
                </w14:textFill>
              </w:rPr>
            </w:pPr>
            <w:r>
              <w:rPr>
                <w:rFonts w:hint="eastAsia"/>
                <w:bCs/>
                <w:color w:val="000000" w:themeColor="text1"/>
                <w:szCs w:val="21"/>
                <w:lang w:eastAsia="zh-CN"/>
                <w14:textFill>
                  <w14:solidFill>
                    <w14:schemeClr w14:val="tx1"/>
                  </w14:solidFill>
                </w14:textFill>
              </w:rPr>
              <w:t>微课程</w:t>
            </w:r>
          </w:p>
        </w:tc>
      </w:tr>
      <w:tr>
        <w:tblPrEx>
          <w:tblLayout w:type="fixed"/>
          <w:tblCellMar>
            <w:top w:w="0" w:type="dxa"/>
            <w:left w:w="108" w:type="dxa"/>
            <w:bottom w:w="0" w:type="dxa"/>
            <w:right w:w="108" w:type="dxa"/>
          </w:tblCellMar>
        </w:tblPrEx>
        <w:trPr>
          <w:trHeight w:val="849"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7</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hint="eastAsia"/>
                <w:bCs/>
                <w:color w:val="000000" w:themeColor="text1"/>
                <w:szCs w:val="21"/>
                <w:lang w:val="en-US" w:eastAsia="zh-CN"/>
                <w14:textFill>
                  <w14:solidFill>
                    <w14:schemeClr w14:val="tx1"/>
                  </w14:solidFill>
                </w14:textFill>
              </w:rPr>
            </w:pPr>
            <w:r>
              <w:rPr>
                <w:rFonts w:hint="eastAsia" w:ascii="宋体" w:hAnsi="宋体" w:cs="宋体"/>
                <w:color w:val="000000"/>
                <w:kern w:val="0"/>
                <w:szCs w:val="21"/>
              </w:rPr>
              <w:t>性命双修、形神兼养的身心智慧</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hint="eastAsia" w:ascii="宋体" w:hAnsi="宋体" w:cs="宋体"/>
                <w:color w:val="000000"/>
                <w:kern w:val="0"/>
                <w:szCs w:val="21"/>
                <w:lang w:val="en-US" w:eastAsia="zh-CN"/>
              </w:rPr>
            </w:pPr>
            <w:r>
              <w:rPr>
                <w:rFonts w:hint="eastAsia" w:ascii="宋体" w:hAnsi="宋体" w:cs="宋体"/>
                <w:color w:val="000000"/>
                <w:kern w:val="0"/>
                <w:szCs w:val="21"/>
              </w:rPr>
              <w:t>中共中央党校（国家行政学院）哲学教研部教授、博士生导师王杰</w:t>
            </w:r>
            <w:r>
              <w:rPr>
                <w:rFonts w:hint="eastAsia" w:ascii="宋体" w:hAnsi="宋体" w:cs="宋体"/>
                <w:color w:val="000000"/>
                <w:kern w:val="0"/>
                <w:szCs w:val="21"/>
                <w:lang w:val="en-US" w:eastAsia="zh-CN"/>
              </w:rPr>
              <w:t>主讲。</w:t>
            </w:r>
          </w:p>
          <w:p>
            <w:pPr>
              <w:spacing w:line="240" w:lineRule="auto"/>
              <w:rPr>
                <w:rFonts w:hint="eastAsia"/>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课程内容：本课程</w:t>
            </w:r>
            <w:r>
              <w:rPr>
                <w:rFonts w:hint="eastAsia"/>
                <w:bCs/>
                <w:color w:val="000000" w:themeColor="text1"/>
                <w:szCs w:val="21"/>
                <w:lang w:val="en-US" w:eastAsia="zh-CN"/>
                <w14:textFill>
                  <w14:solidFill>
                    <w14:schemeClr w14:val="tx1"/>
                  </w14:solidFill>
                </w14:textFill>
              </w:rPr>
              <w:t>分析了</w:t>
            </w:r>
            <w:r>
              <w:rPr>
                <w:rFonts w:hint="eastAsia" w:ascii="宋体" w:hAnsi="宋体" w:cs="宋体"/>
                <w:color w:val="000000"/>
                <w:kern w:val="0"/>
                <w:szCs w:val="21"/>
              </w:rPr>
              <w:t>性命双修、形神兼养的身心智慧</w:t>
            </w:r>
            <w:r>
              <w:rPr>
                <w:rFonts w:hint="eastAsia" w:ascii="宋体" w:hAnsi="宋体" w:cs="宋体"/>
                <w:color w:val="000000"/>
                <w:kern w:val="0"/>
                <w:szCs w:val="21"/>
                <w:lang w:val="en-US" w:eastAsia="zh-CN"/>
              </w:rPr>
              <w:t>的含义。</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0.5</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bCs/>
                <w:color w:val="000000" w:themeColor="text1"/>
                <w:szCs w:val="21"/>
                <w:lang w:eastAsia="zh-CN"/>
                <w14:textFill>
                  <w14:solidFill>
                    <w14:schemeClr w14:val="tx1"/>
                  </w14:solidFill>
                </w14:textFill>
              </w:rPr>
            </w:pPr>
            <w:r>
              <w:rPr>
                <w:rFonts w:hint="eastAsia"/>
                <w:bCs/>
                <w:color w:val="000000" w:themeColor="text1"/>
                <w:szCs w:val="21"/>
                <w:lang w:eastAsia="zh-CN"/>
                <w14:textFill>
                  <w14:solidFill>
                    <w14:schemeClr w14:val="tx1"/>
                  </w14:solidFill>
                </w14:textFill>
              </w:rPr>
              <w:t>微课程</w:t>
            </w:r>
          </w:p>
        </w:tc>
      </w:tr>
      <w:tr>
        <w:tblPrEx>
          <w:tblLayout w:type="fixed"/>
          <w:tblCellMar>
            <w:top w:w="0" w:type="dxa"/>
            <w:left w:w="108" w:type="dxa"/>
            <w:bottom w:w="0" w:type="dxa"/>
            <w:right w:w="108" w:type="dxa"/>
          </w:tblCellMar>
        </w:tblPrEx>
        <w:trPr>
          <w:trHeight w:val="847"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themeColor="text1"/>
                <w:sz w:val="22"/>
                <w:szCs w:val="22"/>
                <w14:textFill>
                  <w14:solidFill>
                    <w14:schemeClr w14:val="tx1"/>
                  </w14:solidFill>
                </w14:textFill>
              </w:rPr>
            </w:pPr>
            <w:r>
              <w:rPr>
                <w:rFonts w:hint="eastAsia" w:ascii="宋体" w:hAnsi="宋体" w:cs="宋体"/>
                <w:i w:val="0"/>
                <w:color w:val="000000"/>
                <w:kern w:val="0"/>
                <w:sz w:val="22"/>
                <w:szCs w:val="22"/>
                <w:u w:val="none"/>
                <w:lang w:val="en-US" w:eastAsia="zh-CN" w:bidi="ar"/>
              </w:rPr>
              <w:t>8</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如何评价自己的性格</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hint="eastAsia" w:ascii="宋体" w:hAnsi="宋体" w:cs="宋体"/>
                <w:color w:val="000000"/>
                <w:kern w:val="0"/>
                <w:szCs w:val="21"/>
                <w:lang w:val="en-US" w:eastAsia="zh-CN"/>
              </w:rPr>
            </w:pPr>
            <w:r>
              <w:rPr>
                <w:rFonts w:hint="eastAsia" w:ascii="宋体" w:hAnsi="宋体" w:cs="宋体"/>
                <w:color w:val="000000"/>
                <w:kern w:val="0"/>
                <w:szCs w:val="21"/>
              </w:rPr>
              <w:t>北京市委党校领导科学部博士曾荣</w:t>
            </w:r>
            <w:r>
              <w:rPr>
                <w:rFonts w:hint="eastAsia" w:ascii="宋体" w:hAnsi="宋体" w:cs="宋体"/>
                <w:color w:val="000000"/>
                <w:kern w:val="0"/>
                <w:szCs w:val="21"/>
                <w:lang w:val="en-US" w:eastAsia="zh-CN"/>
              </w:rPr>
              <w:t>主讲</w:t>
            </w:r>
          </w:p>
          <w:p>
            <w:pPr>
              <w:spacing w:line="240" w:lineRule="auto"/>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课程内容：本课程</w:t>
            </w:r>
            <w:r>
              <w:rPr>
                <w:rFonts w:hint="eastAsia"/>
                <w:bCs/>
                <w:color w:val="000000" w:themeColor="text1"/>
                <w:szCs w:val="21"/>
                <w:lang w:val="en-US" w:eastAsia="zh-CN"/>
                <w14:textFill>
                  <w14:solidFill>
                    <w14:schemeClr w14:val="tx1"/>
                  </w14:solidFill>
                </w14:textFill>
              </w:rPr>
              <w:t>介绍了</w:t>
            </w:r>
            <w:r>
              <w:rPr>
                <w:rFonts w:hint="eastAsia" w:ascii="宋体" w:hAnsi="宋体" w:cs="宋体"/>
                <w:color w:val="000000"/>
                <w:kern w:val="0"/>
                <w:szCs w:val="21"/>
              </w:rPr>
              <w:t>如何评价自己的性格</w:t>
            </w:r>
            <w:r>
              <w:rPr>
                <w:rFonts w:hint="eastAsia" w:ascii="宋体" w:hAnsi="宋体" w:cs="宋体"/>
                <w:color w:val="000000"/>
                <w:kern w:val="0"/>
                <w:szCs w:val="21"/>
                <w:lang w:eastAsia="zh-CN"/>
              </w:rPr>
              <w:t>。</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0.5</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bCs/>
                <w:color w:val="000000" w:themeColor="text1"/>
                <w:szCs w:val="21"/>
                <w14:textFill>
                  <w14:solidFill>
                    <w14:schemeClr w14:val="tx1"/>
                  </w14:solidFill>
                </w14:textFill>
              </w:rPr>
            </w:pPr>
            <w:r>
              <w:rPr>
                <w:rFonts w:hint="eastAsia"/>
                <w:bCs/>
                <w:color w:val="000000" w:themeColor="text1"/>
                <w:szCs w:val="21"/>
                <w:lang w:eastAsia="zh-CN"/>
                <w14:textFill>
                  <w14:solidFill>
                    <w14:schemeClr w14:val="tx1"/>
                  </w14:solidFill>
                </w14:textFill>
              </w:rPr>
              <w:t>微课程</w:t>
            </w:r>
          </w:p>
        </w:tc>
      </w:tr>
      <w:tr>
        <w:tblPrEx>
          <w:tblLayout w:type="fixed"/>
          <w:tblCellMar>
            <w:top w:w="0" w:type="dxa"/>
            <w:left w:w="108" w:type="dxa"/>
            <w:bottom w:w="0" w:type="dxa"/>
            <w:right w:w="108" w:type="dxa"/>
          </w:tblCellMar>
        </w:tblPrEx>
        <w:trPr>
          <w:trHeight w:val="973"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themeColor="text1"/>
                <w:sz w:val="22"/>
                <w:szCs w:val="22"/>
                <w14:textFill>
                  <w14:solidFill>
                    <w14:schemeClr w14:val="tx1"/>
                  </w14:solidFill>
                </w14:textFill>
              </w:rPr>
            </w:pPr>
            <w:r>
              <w:rPr>
                <w:rFonts w:hint="eastAsia" w:ascii="宋体" w:hAnsi="宋体" w:cs="宋体"/>
                <w:i w:val="0"/>
                <w:color w:val="000000"/>
                <w:kern w:val="0"/>
                <w:sz w:val="22"/>
                <w:szCs w:val="22"/>
                <w:u w:val="none"/>
                <w:lang w:val="en-US" w:eastAsia="zh-CN" w:bidi="ar"/>
              </w:rPr>
              <w:t>9</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如何认识我们的性格</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hint="eastAsia" w:ascii="宋体" w:hAnsi="宋体" w:cs="宋体"/>
                <w:color w:val="000000"/>
                <w:kern w:val="0"/>
                <w:szCs w:val="21"/>
                <w:lang w:val="en-US" w:eastAsia="zh-CN"/>
              </w:rPr>
            </w:pPr>
            <w:r>
              <w:rPr>
                <w:rFonts w:hint="eastAsia" w:ascii="宋体" w:hAnsi="宋体" w:cs="宋体"/>
                <w:color w:val="000000"/>
                <w:kern w:val="0"/>
                <w:szCs w:val="21"/>
              </w:rPr>
              <w:t>北京市委党校领导科学部博士曾荣</w:t>
            </w:r>
            <w:r>
              <w:rPr>
                <w:rFonts w:hint="eastAsia" w:ascii="宋体" w:hAnsi="宋体" w:cs="宋体"/>
                <w:color w:val="000000"/>
                <w:kern w:val="0"/>
                <w:szCs w:val="21"/>
                <w:lang w:val="en-US" w:eastAsia="zh-CN"/>
              </w:rPr>
              <w:t>主讲</w:t>
            </w:r>
          </w:p>
          <w:p>
            <w:pPr>
              <w:spacing w:line="240" w:lineRule="auto"/>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课程内容：本课程</w:t>
            </w:r>
            <w:r>
              <w:rPr>
                <w:rFonts w:hint="eastAsia"/>
                <w:bCs/>
                <w:color w:val="000000" w:themeColor="text1"/>
                <w:szCs w:val="21"/>
                <w:lang w:val="en-US" w:eastAsia="zh-CN"/>
                <w14:textFill>
                  <w14:solidFill>
                    <w14:schemeClr w14:val="tx1"/>
                  </w14:solidFill>
                </w14:textFill>
              </w:rPr>
              <w:t>介绍了</w:t>
            </w:r>
            <w:r>
              <w:rPr>
                <w:rFonts w:hint="eastAsia" w:ascii="宋体" w:hAnsi="宋体" w:cs="宋体"/>
                <w:color w:val="000000"/>
                <w:kern w:val="0"/>
                <w:szCs w:val="21"/>
              </w:rPr>
              <w:t>心理疾病与性格的关系</w:t>
            </w:r>
            <w:r>
              <w:rPr>
                <w:rFonts w:hint="eastAsia" w:ascii="宋体" w:hAnsi="宋体" w:cs="宋体"/>
                <w:color w:val="000000"/>
                <w:kern w:val="0"/>
                <w:szCs w:val="21"/>
                <w:lang w:eastAsia="zh-CN"/>
              </w:rPr>
              <w:t>。</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default" w:eastAsia="宋体"/>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0.5</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bCs/>
                <w:color w:val="000000" w:themeColor="text1"/>
                <w:szCs w:val="21"/>
                <w14:textFill>
                  <w14:solidFill>
                    <w14:schemeClr w14:val="tx1"/>
                  </w14:solidFill>
                </w14:textFill>
              </w:rPr>
            </w:pPr>
            <w:r>
              <w:rPr>
                <w:rFonts w:hint="eastAsia"/>
                <w:bCs/>
                <w:color w:val="000000" w:themeColor="text1"/>
                <w:szCs w:val="21"/>
                <w:lang w:eastAsia="zh-CN"/>
                <w14:textFill>
                  <w14:solidFill>
                    <w14:schemeClr w14:val="tx1"/>
                  </w14:solidFill>
                </w14:textFill>
              </w:rPr>
              <w:t>微课程</w:t>
            </w:r>
          </w:p>
        </w:tc>
      </w:tr>
      <w:tr>
        <w:tblPrEx>
          <w:tblLayout w:type="fixed"/>
          <w:tblCellMar>
            <w:top w:w="0" w:type="dxa"/>
            <w:left w:w="108" w:type="dxa"/>
            <w:bottom w:w="0" w:type="dxa"/>
            <w:right w:w="108" w:type="dxa"/>
          </w:tblCellMar>
        </w:tblPrEx>
        <w:trPr>
          <w:trHeight w:val="90"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color w:val="000000" w:themeColor="text1"/>
                <w:sz w:val="22"/>
                <w:szCs w:val="22"/>
                <w:lang w:val="en-US"/>
                <w14:textFill>
                  <w14:solidFill>
                    <w14:schemeClr w14:val="tx1"/>
                  </w14:solidFill>
                </w14:textFill>
              </w:rPr>
            </w:pPr>
            <w:r>
              <w:rPr>
                <w:rFonts w:hint="eastAsia" w:ascii="宋体" w:hAnsi="宋体" w:cs="宋体"/>
                <w:i w:val="0"/>
                <w:color w:val="000000"/>
                <w:kern w:val="0"/>
                <w:sz w:val="22"/>
                <w:szCs w:val="22"/>
                <w:u w:val="none"/>
                <w:lang w:val="en-US" w:eastAsia="zh-CN" w:bidi="ar"/>
              </w:rPr>
              <w:t>10</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心理疾病与性格的关系</w:t>
            </w:r>
          </w:p>
        </w:tc>
        <w:tc>
          <w:tcPr>
            <w:tcW w:w="87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hint="eastAsia" w:ascii="宋体" w:hAnsi="宋体" w:cs="宋体"/>
                <w:color w:val="000000"/>
                <w:kern w:val="0"/>
                <w:szCs w:val="21"/>
                <w:lang w:val="en-US" w:eastAsia="zh-CN"/>
              </w:rPr>
            </w:pPr>
            <w:r>
              <w:rPr>
                <w:rFonts w:hint="eastAsia" w:ascii="宋体" w:hAnsi="宋体" w:cs="宋体"/>
                <w:color w:val="000000"/>
                <w:kern w:val="0"/>
                <w:szCs w:val="21"/>
              </w:rPr>
              <w:t>北京市委党校领导科学部博士曾荣</w:t>
            </w:r>
            <w:r>
              <w:rPr>
                <w:rFonts w:hint="eastAsia" w:ascii="宋体" w:hAnsi="宋体" w:cs="宋体"/>
                <w:color w:val="000000"/>
                <w:kern w:val="0"/>
                <w:szCs w:val="21"/>
                <w:lang w:val="en-US" w:eastAsia="zh-CN"/>
              </w:rPr>
              <w:t>主讲</w:t>
            </w:r>
          </w:p>
          <w:p>
            <w:pPr>
              <w:spacing w:line="240" w:lineRule="auto"/>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课程内容：本课程</w:t>
            </w:r>
            <w:r>
              <w:rPr>
                <w:rFonts w:hint="eastAsia"/>
                <w:bCs/>
                <w:color w:val="000000" w:themeColor="text1"/>
                <w:szCs w:val="21"/>
                <w:lang w:val="en-US" w:eastAsia="zh-CN"/>
                <w14:textFill>
                  <w14:solidFill>
                    <w14:schemeClr w14:val="tx1"/>
                  </w14:solidFill>
                </w14:textFill>
              </w:rPr>
              <w:t>介绍了</w:t>
            </w:r>
            <w:r>
              <w:rPr>
                <w:rFonts w:hint="eastAsia" w:ascii="宋体" w:hAnsi="宋体" w:cs="宋体"/>
                <w:color w:val="000000"/>
                <w:kern w:val="0"/>
                <w:szCs w:val="21"/>
              </w:rPr>
              <w:t>如何认识我们的性格</w:t>
            </w:r>
            <w:r>
              <w:rPr>
                <w:rFonts w:hint="eastAsia" w:ascii="宋体" w:hAnsi="宋体" w:cs="宋体"/>
                <w:color w:val="000000"/>
                <w:kern w:val="0"/>
                <w:szCs w:val="21"/>
                <w:lang w:eastAsia="zh-CN"/>
              </w:rPr>
              <w:t>。</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default" w:eastAsia="宋体"/>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0.5</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bCs/>
                <w:color w:val="000000" w:themeColor="text1"/>
                <w:szCs w:val="21"/>
                <w14:textFill>
                  <w14:solidFill>
                    <w14:schemeClr w14:val="tx1"/>
                  </w14:solidFill>
                </w14:textFill>
              </w:rPr>
            </w:pPr>
            <w:r>
              <w:rPr>
                <w:rFonts w:hint="eastAsia"/>
                <w:bCs/>
                <w:color w:val="000000" w:themeColor="text1"/>
                <w:szCs w:val="21"/>
                <w:lang w:eastAsia="zh-CN"/>
                <w14:textFill>
                  <w14:solidFill>
                    <w14:schemeClr w14:val="tx1"/>
                  </w14:solidFill>
                </w14:textFill>
              </w:rPr>
              <w:t>微课程</w:t>
            </w:r>
          </w:p>
        </w:tc>
      </w:tr>
      <w:tr>
        <w:tblPrEx>
          <w:tblLayout w:type="fixed"/>
          <w:tblCellMar>
            <w:top w:w="0" w:type="dxa"/>
            <w:left w:w="108" w:type="dxa"/>
            <w:bottom w:w="0" w:type="dxa"/>
            <w:right w:w="108" w:type="dxa"/>
          </w:tblCellMar>
        </w:tblPrEx>
        <w:trPr>
          <w:trHeight w:val="671"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color w:val="000000" w:themeColor="text1"/>
                <w:sz w:val="22"/>
                <w:szCs w:val="22"/>
                <w:lang w:val="en-US"/>
                <w14:textFill>
                  <w14:solidFill>
                    <w14:schemeClr w14:val="tx1"/>
                  </w14:solidFill>
                </w14:textFill>
              </w:rPr>
            </w:pPr>
            <w:r>
              <w:rPr>
                <w:rFonts w:hint="eastAsia" w:ascii="宋体" w:hAnsi="宋体" w:cs="宋体"/>
                <w:i w:val="0"/>
                <w:color w:val="000000"/>
                <w:kern w:val="0"/>
                <w:sz w:val="22"/>
                <w:szCs w:val="22"/>
                <w:u w:val="none"/>
                <w:lang w:val="en-US" w:eastAsia="zh-CN" w:bidi="ar"/>
              </w:rPr>
              <w:t>11</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心理健康重在预防</w:t>
            </w:r>
          </w:p>
        </w:tc>
        <w:tc>
          <w:tcPr>
            <w:tcW w:w="8788"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hint="eastAsia" w:ascii="宋体" w:hAnsi="宋体" w:cs="宋体"/>
                <w:color w:val="000000"/>
                <w:kern w:val="0"/>
                <w:szCs w:val="21"/>
                <w:lang w:val="en-US" w:eastAsia="zh-CN"/>
              </w:rPr>
            </w:pPr>
            <w:r>
              <w:rPr>
                <w:rFonts w:hint="eastAsia" w:ascii="宋体" w:hAnsi="宋体" w:cs="宋体"/>
                <w:color w:val="000000"/>
                <w:kern w:val="0"/>
                <w:szCs w:val="21"/>
              </w:rPr>
              <w:t>中国科学院心理研究所国家公务员心理健康应用研究中心副主任卢敏</w:t>
            </w:r>
            <w:r>
              <w:rPr>
                <w:rFonts w:hint="eastAsia" w:ascii="宋体" w:hAnsi="宋体" w:cs="宋体"/>
                <w:color w:val="000000"/>
                <w:kern w:val="0"/>
                <w:szCs w:val="21"/>
                <w:lang w:val="en-US" w:eastAsia="zh-CN"/>
              </w:rPr>
              <w:t>主讲。</w:t>
            </w:r>
          </w:p>
          <w:p>
            <w:pPr>
              <w:spacing w:line="240" w:lineRule="auto"/>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课程内容：本课程</w:t>
            </w:r>
            <w:r>
              <w:rPr>
                <w:rFonts w:hint="eastAsia"/>
                <w:bCs/>
                <w:color w:val="000000" w:themeColor="text1"/>
                <w:szCs w:val="21"/>
                <w:lang w:val="en-US" w:eastAsia="zh-CN"/>
                <w14:textFill>
                  <w14:solidFill>
                    <w14:schemeClr w14:val="tx1"/>
                  </w14:solidFill>
                </w14:textFill>
              </w:rPr>
              <w:t>介绍了</w:t>
            </w:r>
            <w:r>
              <w:rPr>
                <w:rFonts w:hint="eastAsia" w:ascii="宋体" w:hAnsi="宋体" w:cs="宋体"/>
                <w:color w:val="000000"/>
                <w:kern w:val="0"/>
                <w:szCs w:val="21"/>
              </w:rPr>
              <w:t>心理健康重在预防</w:t>
            </w:r>
            <w:r>
              <w:rPr>
                <w:rFonts w:hint="eastAsia" w:ascii="宋体" w:hAnsi="宋体" w:cs="宋体"/>
                <w:color w:val="000000"/>
                <w:kern w:val="0"/>
                <w:szCs w:val="21"/>
                <w:lang w:eastAsia="zh-CN"/>
              </w:rPr>
              <w:t>。</w:t>
            </w:r>
          </w:p>
        </w:tc>
        <w:tc>
          <w:tcPr>
            <w:tcW w:w="1100"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0.5</w:t>
            </w:r>
          </w:p>
        </w:tc>
        <w:tc>
          <w:tcPr>
            <w:tcW w:w="984"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bCs/>
                <w:color w:val="000000" w:themeColor="text1"/>
                <w:szCs w:val="21"/>
                <w14:textFill>
                  <w14:solidFill>
                    <w14:schemeClr w14:val="tx1"/>
                  </w14:solidFill>
                </w14:textFill>
              </w:rPr>
            </w:pPr>
            <w:r>
              <w:rPr>
                <w:rFonts w:hint="eastAsia"/>
                <w:bCs/>
                <w:color w:val="000000" w:themeColor="text1"/>
                <w:szCs w:val="21"/>
                <w:lang w:eastAsia="zh-CN"/>
                <w14:textFill>
                  <w14:solidFill>
                    <w14:schemeClr w14:val="tx1"/>
                  </w14:solidFill>
                </w14:textFill>
              </w:rPr>
              <w:t>微课程</w:t>
            </w:r>
          </w:p>
        </w:tc>
      </w:tr>
      <w:tr>
        <w:tblPrEx>
          <w:tblLayout w:type="fixed"/>
          <w:tblCellMar>
            <w:top w:w="0" w:type="dxa"/>
            <w:left w:w="108" w:type="dxa"/>
            <w:bottom w:w="0" w:type="dxa"/>
            <w:right w:w="108" w:type="dxa"/>
          </w:tblCellMar>
        </w:tblPrEx>
        <w:trPr>
          <w:trHeight w:val="695"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color w:val="000000" w:themeColor="text1"/>
                <w:sz w:val="22"/>
                <w:szCs w:val="22"/>
                <w:lang w:val="en-US"/>
                <w14:textFill>
                  <w14:solidFill>
                    <w14:schemeClr w14:val="tx1"/>
                  </w14:solidFill>
                </w14:textFill>
              </w:rPr>
            </w:pPr>
            <w:r>
              <w:rPr>
                <w:rFonts w:hint="eastAsia" w:ascii="宋体" w:hAnsi="宋体" w:cs="宋体"/>
                <w:i w:val="0"/>
                <w:color w:val="000000"/>
                <w:kern w:val="0"/>
                <w:sz w:val="22"/>
                <w:szCs w:val="22"/>
                <w:u w:val="none"/>
                <w:lang w:val="en-US" w:eastAsia="zh-CN" w:bidi="ar"/>
              </w:rPr>
              <w:t>12</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压力管理的重要性</w:t>
            </w:r>
          </w:p>
        </w:tc>
        <w:tc>
          <w:tcPr>
            <w:tcW w:w="8788"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hint="eastAsia" w:ascii="宋体" w:hAnsi="宋体" w:cs="宋体"/>
                <w:color w:val="000000"/>
                <w:kern w:val="0"/>
                <w:szCs w:val="21"/>
                <w:lang w:val="en-US" w:eastAsia="zh-CN"/>
              </w:rPr>
            </w:pPr>
            <w:r>
              <w:rPr>
                <w:rFonts w:hint="eastAsia" w:ascii="宋体" w:hAnsi="宋体" w:cs="宋体"/>
                <w:color w:val="000000"/>
                <w:kern w:val="0"/>
                <w:szCs w:val="21"/>
              </w:rPr>
              <w:t>中国科学院心理研究所国家公务员心理健康应用研究中心副主任卢敏</w:t>
            </w:r>
            <w:r>
              <w:rPr>
                <w:rFonts w:hint="eastAsia" w:ascii="宋体" w:hAnsi="宋体" w:cs="宋体"/>
                <w:color w:val="000000"/>
                <w:kern w:val="0"/>
                <w:szCs w:val="21"/>
                <w:lang w:val="en-US" w:eastAsia="zh-CN"/>
              </w:rPr>
              <w:t>主讲。</w:t>
            </w:r>
          </w:p>
          <w:p>
            <w:pPr>
              <w:spacing w:line="240" w:lineRule="auto"/>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课程内容：本课程</w:t>
            </w:r>
            <w:r>
              <w:rPr>
                <w:rFonts w:hint="eastAsia"/>
                <w:bCs/>
                <w:color w:val="000000" w:themeColor="text1"/>
                <w:szCs w:val="21"/>
                <w:lang w:val="en-US" w:eastAsia="zh-CN"/>
                <w14:textFill>
                  <w14:solidFill>
                    <w14:schemeClr w14:val="tx1"/>
                  </w14:solidFill>
                </w14:textFill>
              </w:rPr>
              <w:t>介绍了</w:t>
            </w:r>
            <w:r>
              <w:rPr>
                <w:rFonts w:hint="eastAsia" w:ascii="宋体" w:hAnsi="宋体" w:cs="宋体"/>
                <w:color w:val="000000"/>
                <w:kern w:val="0"/>
                <w:szCs w:val="21"/>
              </w:rPr>
              <w:t>压力管理的重要性</w:t>
            </w:r>
            <w:r>
              <w:rPr>
                <w:rFonts w:hint="eastAsia" w:ascii="宋体" w:hAnsi="宋体" w:cs="宋体"/>
                <w:color w:val="000000"/>
                <w:kern w:val="0"/>
                <w:szCs w:val="21"/>
                <w:lang w:eastAsia="zh-CN"/>
              </w:rPr>
              <w:t>。</w:t>
            </w:r>
          </w:p>
        </w:tc>
        <w:tc>
          <w:tcPr>
            <w:tcW w:w="1100"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hint="eastAsia" w:eastAsia="宋体"/>
                <w:bCs/>
                <w:color w:val="000000" w:themeColor="text1"/>
                <w:szCs w:val="21"/>
                <w:lang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0.5</w:t>
            </w:r>
          </w:p>
        </w:tc>
        <w:tc>
          <w:tcPr>
            <w:tcW w:w="984"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bCs/>
                <w:color w:val="000000" w:themeColor="text1"/>
                <w:szCs w:val="21"/>
                <w14:textFill>
                  <w14:solidFill>
                    <w14:schemeClr w14:val="tx1"/>
                  </w14:solidFill>
                </w14:textFill>
              </w:rPr>
            </w:pPr>
            <w:r>
              <w:rPr>
                <w:rFonts w:hint="eastAsia"/>
                <w:bCs/>
                <w:color w:val="000000" w:themeColor="text1"/>
                <w:szCs w:val="21"/>
                <w:lang w:eastAsia="zh-CN"/>
                <w14:textFill>
                  <w14:solidFill>
                    <w14:schemeClr w14:val="tx1"/>
                  </w14:solidFill>
                </w14:textFill>
              </w:rPr>
              <w:t>微课程</w:t>
            </w:r>
          </w:p>
        </w:tc>
      </w:tr>
    </w:tbl>
    <w:p>
      <w:pPr>
        <w:jc w:val="center"/>
        <w:rPr>
          <w:bCs/>
          <w:color w:val="000000"/>
          <w:szCs w:val="21"/>
        </w:rPr>
      </w:pPr>
    </w:p>
    <w:p>
      <w:pPr>
        <w:jc w:val="center"/>
        <w:rPr>
          <w:bCs/>
          <w:color w:val="000000"/>
          <w:szCs w:val="21"/>
        </w:rPr>
      </w:pPr>
    </w:p>
    <w:p>
      <w:pPr>
        <w:jc w:val="center"/>
        <w:rPr>
          <w:bCs/>
          <w:color w:val="000000"/>
          <w:szCs w:val="21"/>
        </w:rPr>
      </w:pPr>
    </w:p>
    <w:p>
      <w:pPr>
        <w:jc w:val="center"/>
        <w:rPr>
          <w:rFonts w:hint="eastAsia"/>
          <w:bCs/>
          <w:color w:val="000000"/>
          <w:szCs w:val="21"/>
        </w:rPr>
      </w:pPr>
    </w:p>
    <w:sectPr>
      <w:footerReference r:id="rId3" w:type="default"/>
      <w:pgSz w:w="16839" w:h="11907" w:orient="landscape"/>
      <w:pgMar w:top="1701" w:right="2835" w:bottom="1701" w:left="2835" w:header="851" w:footer="992"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Webdings">
    <w:panose1 w:val="05030102010509060703"/>
    <w:charset w:val="02"/>
    <w:family w:val="roman"/>
    <w:pitch w:val="default"/>
    <w:sig w:usb0="00000000" w:usb1="00000000" w:usb2="00000000" w:usb3="00000000" w:csb0="80000000" w:csb1="00000000"/>
  </w:font>
  <w:font w:name="Calibri Light">
    <w:panose1 w:val="020F0302020204030204"/>
    <w:charset w:val="00"/>
    <w:family w:val="swiss"/>
    <w:pitch w:val="default"/>
    <w:sig w:usb0="A00002EF" w:usb1="4000207B" w:usb2="00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tabs>
        <w:tab w:val="center" w:pos="4539"/>
        <w:tab w:val="left" w:pos="6587"/>
      </w:tabs>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972185" cy="222250"/>
              <wp:effectExtent l="0" t="0" r="0" b="0"/>
              <wp:wrapNone/>
              <wp:docPr id="1" name="文本框76"/>
              <wp:cNvGraphicFramePr/>
              <a:graphic xmlns:a="http://schemas.openxmlformats.org/drawingml/2006/main">
                <a:graphicData uri="http://schemas.microsoft.com/office/word/2010/wordprocessingShape">
                  <wps:wsp>
                    <wps:cNvSpPr txBox="1">
                      <a:spLocks noChangeArrowheads="1"/>
                    </wps:cNvSpPr>
                    <wps:spPr bwMode="auto">
                      <a:xfrm>
                        <a:off x="0" y="0"/>
                        <a:ext cx="972185" cy="222250"/>
                      </a:xfrm>
                      <a:prstGeom prst="rect">
                        <a:avLst/>
                      </a:prstGeom>
                      <a:noFill/>
                      <a:ln>
                        <a:noFill/>
                      </a:ln>
                    </wps:spPr>
                    <wps:txbx>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21</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84</w:t>
                          </w:r>
                          <w:r>
                            <w:rPr>
                              <w:rFonts w:hint="eastAsia"/>
                              <w:sz w:val="18"/>
                            </w:rPr>
                            <w:fldChar w:fldCharType="end"/>
                          </w:r>
                          <w:r>
                            <w:rPr>
                              <w:rFonts w:hint="eastAsia"/>
                              <w:sz w:val="18"/>
                            </w:rPr>
                            <w:t xml:space="preserve"> 页</w:t>
                          </w:r>
                        </w:p>
                      </w:txbxContent>
                    </wps:txbx>
                    <wps:bodyPr rot="0" vert="horz" wrap="none" lIns="0" tIns="0" rIns="0" bIns="0" anchor="t" anchorCtr="0" upright="1">
                      <a:spAutoFit/>
                    </wps:bodyPr>
                  </wps:wsp>
                </a:graphicData>
              </a:graphic>
            </wp:anchor>
          </w:drawing>
        </mc:Choice>
        <mc:Fallback>
          <w:pict>
            <v:shape id="文本框76" o:spid="_x0000_s1026" o:spt="202" type="#_x0000_t202" style="position:absolute;left:0pt;margin-top:0pt;height:17.5pt;width:76.55pt;mso-position-horizontal:center;mso-position-horizontal-relative:margin;mso-wrap-style:none;z-index:251658240;mso-width-relative:page;mso-height-relative:page;" filled="f" stroked="f" coordsize="21600,21600" o:gfxdata="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WBQto&#10;0gAAAAQBAAAPAAAAAAAAAAEAIAAAACIAAABkcnMvZG93bnJldi54bWxQSwECFAAUAAAACACHTuJA&#10;s4MDbO4BAAC0AwAADgAAAAAAAAABACAAAAAhAQAAZHJzL2Uyb0RvYy54bWxQSwUGAAAAAAYABgBZ&#10;AQAAgQUAAAAA&#10;">
              <v:fill on="f" focussize="0,0"/>
              <v:stroke on="f"/>
              <v:imagedata o:title=""/>
              <o:lock v:ext="edit" aspectratio="f"/>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21</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84</w:t>
                    </w:r>
                    <w:r>
                      <w:rPr>
                        <w:rFonts w:hint="eastAsia"/>
                        <w:sz w:val="18"/>
                      </w:rPr>
                      <w:fldChar w:fldCharType="end"/>
                    </w:r>
                    <w:r>
                      <w:rPr>
                        <w:rFonts w:hint="eastAsia"/>
                        <w:sz w:val="18"/>
                      </w:rPr>
                      <w:t xml:space="preserve"> 页</w:t>
                    </w:r>
                  </w:p>
                </w:txbxContent>
              </v:textbox>
            </v:shape>
          </w:pict>
        </mc:Fallback>
      </mc:AlternateContent>
    </w:r>
    <w:r>
      <w:rPr>
        <w:rFonts w:hint="eastAsia"/>
      </w:rPr>
      <w:tab/>
    </w:r>
    <w:r>
      <w:rPr>
        <w:rStyle w:val="37"/>
        <w:rFonts w:hint="eastAsia"/>
      </w:rPr>
      <w:tab/>
    </w:r>
  </w:p>
  <w:p>
    <w:pPr>
      <w:pStyle w:val="2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2563"/>
    <w:multiLevelType w:val="singleLevel"/>
    <w:tmpl w:val="0723256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3208"/>
    <w:rsid w:val="00006ECC"/>
    <w:rsid w:val="00010989"/>
    <w:rsid w:val="00017E8B"/>
    <w:rsid w:val="0002117B"/>
    <w:rsid w:val="00025217"/>
    <w:rsid w:val="00030F7A"/>
    <w:rsid w:val="000347A9"/>
    <w:rsid w:val="00034DEB"/>
    <w:rsid w:val="00034E67"/>
    <w:rsid w:val="00040CEC"/>
    <w:rsid w:val="000429C3"/>
    <w:rsid w:val="00042D65"/>
    <w:rsid w:val="00043B01"/>
    <w:rsid w:val="00043D7B"/>
    <w:rsid w:val="000557C1"/>
    <w:rsid w:val="00065050"/>
    <w:rsid w:val="00065E97"/>
    <w:rsid w:val="000812E0"/>
    <w:rsid w:val="000829A8"/>
    <w:rsid w:val="0008460C"/>
    <w:rsid w:val="0008619E"/>
    <w:rsid w:val="00086665"/>
    <w:rsid w:val="00086C67"/>
    <w:rsid w:val="00090A98"/>
    <w:rsid w:val="00095661"/>
    <w:rsid w:val="00095795"/>
    <w:rsid w:val="000A0A0F"/>
    <w:rsid w:val="000A397D"/>
    <w:rsid w:val="000A39F8"/>
    <w:rsid w:val="000A3ACF"/>
    <w:rsid w:val="000A72AD"/>
    <w:rsid w:val="000B3201"/>
    <w:rsid w:val="000B54A8"/>
    <w:rsid w:val="000B6CE1"/>
    <w:rsid w:val="000B79A4"/>
    <w:rsid w:val="000C24ED"/>
    <w:rsid w:val="000C29AB"/>
    <w:rsid w:val="000C4C69"/>
    <w:rsid w:val="000C4F21"/>
    <w:rsid w:val="000C7379"/>
    <w:rsid w:val="000C7CD6"/>
    <w:rsid w:val="000D05C8"/>
    <w:rsid w:val="000D1353"/>
    <w:rsid w:val="000D587B"/>
    <w:rsid w:val="000D5B02"/>
    <w:rsid w:val="000D5E75"/>
    <w:rsid w:val="000D65D9"/>
    <w:rsid w:val="000E41EE"/>
    <w:rsid w:val="000E5F70"/>
    <w:rsid w:val="000E6BC3"/>
    <w:rsid w:val="000F2190"/>
    <w:rsid w:val="000F4D4F"/>
    <w:rsid w:val="000F6A38"/>
    <w:rsid w:val="001001FF"/>
    <w:rsid w:val="00104CE3"/>
    <w:rsid w:val="00111194"/>
    <w:rsid w:val="00113759"/>
    <w:rsid w:val="0011771A"/>
    <w:rsid w:val="00121D0F"/>
    <w:rsid w:val="0012486A"/>
    <w:rsid w:val="00124F0F"/>
    <w:rsid w:val="00127897"/>
    <w:rsid w:val="00127C25"/>
    <w:rsid w:val="00135F72"/>
    <w:rsid w:val="00136630"/>
    <w:rsid w:val="001373E9"/>
    <w:rsid w:val="00150F83"/>
    <w:rsid w:val="00153BB6"/>
    <w:rsid w:val="0015637A"/>
    <w:rsid w:val="001567EE"/>
    <w:rsid w:val="00157064"/>
    <w:rsid w:val="001605CE"/>
    <w:rsid w:val="00162A72"/>
    <w:rsid w:val="00163ED8"/>
    <w:rsid w:val="00166113"/>
    <w:rsid w:val="00166CB5"/>
    <w:rsid w:val="00172A27"/>
    <w:rsid w:val="0019167C"/>
    <w:rsid w:val="00192786"/>
    <w:rsid w:val="001929DB"/>
    <w:rsid w:val="001955DE"/>
    <w:rsid w:val="00196BAE"/>
    <w:rsid w:val="001A1973"/>
    <w:rsid w:val="001A2C74"/>
    <w:rsid w:val="001A2FCF"/>
    <w:rsid w:val="001A3E99"/>
    <w:rsid w:val="001A77FB"/>
    <w:rsid w:val="001B114D"/>
    <w:rsid w:val="001B599F"/>
    <w:rsid w:val="001B5D51"/>
    <w:rsid w:val="001C5046"/>
    <w:rsid w:val="001C59BC"/>
    <w:rsid w:val="001E5045"/>
    <w:rsid w:val="001E51AC"/>
    <w:rsid w:val="001E5610"/>
    <w:rsid w:val="001F006E"/>
    <w:rsid w:val="00204B8F"/>
    <w:rsid w:val="00206128"/>
    <w:rsid w:val="002068FA"/>
    <w:rsid w:val="00210125"/>
    <w:rsid w:val="00221E9A"/>
    <w:rsid w:val="0022740A"/>
    <w:rsid w:val="002307FB"/>
    <w:rsid w:val="00232B4F"/>
    <w:rsid w:val="002419EE"/>
    <w:rsid w:val="00241AB2"/>
    <w:rsid w:val="00241FBE"/>
    <w:rsid w:val="00251B9F"/>
    <w:rsid w:val="002525A0"/>
    <w:rsid w:val="002528E7"/>
    <w:rsid w:val="00252D5F"/>
    <w:rsid w:val="00254B7C"/>
    <w:rsid w:val="0025704C"/>
    <w:rsid w:val="002606C2"/>
    <w:rsid w:val="002608FF"/>
    <w:rsid w:val="0026240F"/>
    <w:rsid w:val="00262B5C"/>
    <w:rsid w:val="00263420"/>
    <w:rsid w:val="00264EF9"/>
    <w:rsid w:val="00266277"/>
    <w:rsid w:val="0027339F"/>
    <w:rsid w:val="002764F6"/>
    <w:rsid w:val="00277823"/>
    <w:rsid w:val="0028035B"/>
    <w:rsid w:val="002838AB"/>
    <w:rsid w:val="00287125"/>
    <w:rsid w:val="002909DE"/>
    <w:rsid w:val="00295C26"/>
    <w:rsid w:val="00297937"/>
    <w:rsid w:val="002A2BB4"/>
    <w:rsid w:val="002B1668"/>
    <w:rsid w:val="002C0420"/>
    <w:rsid w:val="002C1EED"/>
    <w:rsid w:val="002C31F4"/>
    <w:rsid w:val="002C3E8B"/>
    <w:rsid w:val="002C51E6"/>
    <w:rsid w:val="002C6F53"/>
    <w:rsid w:val="002D0157"/>
    <w:rsid w:val="002D09F3"/>
    <w:rsid w:val="002D1CC7"/>
    <w:rsid w:val="002D37F4"/>
    <w:rsid w:val="002D508F"/>
    <w:rsid w:val="002D5D5B"/>
    <w:rsid w:val="002E0EAF"/>
    <w:rsid w:val="002E14BD"/>
    <w:rsid w:val="002E2EE4"/>
    <w:rsid w:val="002E448B"/>
    <w:rsid w:val="002E6D9B"/>
    <w:rsid w:val="002E7F73"/>
    <w:rsid w:val="002F12C9"/>
    <w:rsid w:val="002F3C23"/>
    <w:rsid w:val="002F4AF8"/>
    <w:rsid w:val="002F5343"/>
    <w:rsid w:val="002F7A65"/>
    <w:rsid w:val="003051AB"/>
    <w:rsid w:val="00312DBA"/>
    <w:rsid w:val="003131AF"/>
    <w:rsid w:val="003163E9"/>
    <w:rsid w:val="003167F4"/>
    <w:rsid w:val="00322790"/>
    <w:rsid w:val="00327E19"/>
    <w:rsid w:val="00330F72"/>
    <w:rsid w:val="00331DE7"/>
    <w:rsid w:val="00337941"/>
    <w:rsid w:val="003405B5"/>
    <w:rsid w:val="003424A6"/>
    <w:rsid w:val="0034581C"/>
    <w:rsid w:val="00345D96"/>
    <w:rsid w:val="00347EA7"/>
    <w:rsid w:val="003506A2"/>
    <w:rsid w:val="003541F4"/>
    <w:rsid w:val="0036116F"/>
    <w:rsid w:val="00361687"/>
    <w:rsid w:val="0036645F"/>
    <w:rsid w:val="003709F7"/>
    <w:rsid w:val="00371CA8"/>
    <w:rsid w:val="0037223F"/>
    <w:rsid w:val="003725C6"/>
    <w:rsid w:val="00372DEA"/>
    <w:rsid w:val="00373DE9"/>
    <w:rsid w:val="00374A3B"/>
    <w:rsid w:val="003762F3"/>
    <w:rsid w:val="00376C14"/>
    <w:rsid w:val="0038087B"/>
    <w:rsid w:val="00386DCF"/>
    <w:rsid w:val="00392D8B"/>
    <w:rsid w:val="003A22A1"/>
    <w:rsid w:val="003B20EE"/>
    <w:rsid w:val="003B25ED"/>
    <w:rsid w:val="003B3DAC"/>
    <w:rsid w:val="003B4D96"/>
    <w:rsid w:val="003C1EE7"/>
    <w:rsid w:val="003C5799"/>
    <w:rsid w:val="003C57B5"/>
    <w:rsid w:val="003C6E55"/>
    <w:rsid w:val="003D43F3"/>
    <w:rsid w:val="003D53C5"/>
    <w:rsid w:val="003D753D"/>
    <w:rsid w:val="003E5773"/>
    <w:rsid w:val="003F1B91"/>
    <w:rsid w:val="003F4CEC"/>
    <w:rsid w:val="003F5AAD"/>
    <w:rsid w:val="003F68D9"/>
    <w:rsid w:val="004007A2"/>
    <w:rsid w:val="00401D7D"/>
    <w:rsid w:val="004041E4"/>
    <w:rsid w:val="00404E0E"/>
    <w:rsid w:val="004078E1"/>
    <w:rsid w:val="00415A5A"/>
    <w:rsid w:val="00420824"/>
    <w:rsid w:val="00420E54"/>
    <w:rsid w:val="00422CA3"/>
    <w:rsid w:val="00422F67"/>
    <w:rsid w:val="00423043"/>
    <w:rsid w:val="00425A17"/>
    <w:rsid w:val="00437D6F"/>
    <w:rsid w:val="004404EA"/>
    <w:rsid w:val="00445469"/>
    <w:rsid w:val="004506EC"/>
    <w:rsid w:val="00451B6B"/>
    <w:rsid w:val="00456B07"/>
    <w:rsid w:val="004577B0"/>
    <w:rsid w:val="00463621"/>
    <w:rsid w:val="00472EDA"/>
    <w:rsid w:val="00481C7C"/>
    <w:rsid w:val="00482276"/>
    <w:rsid w:val="004832E2"/>
    <w:rsid w:val="00487459"/>
    <w:rsid w:val="00493CF5"/>
    <w:rsid w:val="0049719C"/>
    <w:rsid w:val="004A00E3"/>
    <w:rsid w:val="004A277C"/>
    <w:rsid w:val="004A3737"/>
    <w:rsid w:val="004B5556"/>
    <w:rsid w:val="004B5D3B"/>
    <w:rsid w:val="004C09CE"/>
    <w:rsid w:val="004C39EC"/>
    <w:rsid w:val="004C5FA1"/>
    <w:rsid w:val="004D16EC"/>
    <w:rsid w:val="004D31BE"/>
    <w:rsid w:val="004D597F"/>
    <w:rsid w:val="004E0346"/>
    <w:rsid w:val="004E144B"/>
    <w:rsid w:val="004E1B9E"/>
    <w:rsid w:val="004E1F12"/>
    <w:rsid w:val="004E5710"/>
    <w:rsid w:val="004E583E"/>
    <w:rsid w:val="004E7FAE"/>
    <w:rsid w:val="004F290B"/>
    <w:rsid w:val="004F2D46"/>
    <w:rsid w:val="004F6A2B"/>
    <w:rsid w:val="004F7060"/>
    <w:rsid w:val="00503FA9"/>
    <w:rsid w:val="00512DF6"/>
    <w:rsid w:val="0051544E"/>
    <w:rsid w:val="00525C26"/>
    <w:rsid w:val="0053448C"/>
    <w:rsid w:val="00536A6C"/>
    <w:rsid w:val="00537A0B"/>
    <w:rsid w:val="00537DBA"/>
    <w:rsid w:val="005429DB"/>
    <w:rsid w:val="005508B5"/>
    <w:rsid w:val="0055198D"/>
    <w:rsid w:val="00553875"/>
    <w:rsid w:val="00563DCE"/>
    <w:rsid w:val="0056527B"/>
    <w:rsid w:val="00571C05"/>
    <w:rsid w:val="005720E4"/>
    <w:rsid w:val="0058149B"/>
    <w:rsid w:val="00583F59"/>
    <w:rsid w:val="00590164"/>
    <w:rsid w:val="00592D3F"/>
    <w:rsid w:val="00594827"/>
    <w:rsid w:val="005963FD"/>
    <w:rsid w:val="0059663C"/>
    <w:rsid w:val="005A211E"/>
    <w:rsid w:val="005A6A29"/>
    <w:rsid w:val="005B1223"/>
    <w:rsid w:val="005C2572"/>
    <w:rsid w:val="005C6804"/>
    <w:rsid w:val="005D25A0"/>
    <w:rsid w:val="005D3318"/>
    <w:rsid w:val="005D55C0"/>
    <w:rsid w:val="005E09D1"/>
    <w:rsid w:val="005E72D6"/>
    <w:rsid w:val="005F1AA4"/>
    <w:rsid w:val="005F374D"/>
    <w:rsid w:val="005F5CB9"/>
    <w:rsid w:val="00600958"/>
    <w:rsid w:val="00604268"/>
    <w:rsid w:val="006048C7"/>
    <w:rsid w:val="0060766A"/>
    <w:rsid w:val="006154A9"/>
    <w:rsid w:val="00620227"/>
    <w:rsid w:val="00620FC8"/>
    <w:rsid w:val="00637065"/>
    <w:rsid w:val="00637CA2"/>
    <w:rsid w:val="00643F3A"/>
    <w:rsid w:val="00645787"/>
    <w:rsid w:val="0065357D"/>
    <w:rsid w:val="00657B77"/>
    <w:rsid w:val="006632F9"/>
    <w:rsid w:val="0066451F"/>
    <w:rsid w:val="0066472D"/>
    <w:rsid w:val="0066556E"/>
    <w:rsid w:val="00671EBD"/>
    <w:rsid w:val="006730FF"/>
    <w:rsid w:val="00677D3C"/>
    <w:rsid w:val="00683C2D"/>
    <w:rsid w:val="0068453A"/>
    <w:rsid w:val="00684A8B"/>
    <w:rsid w:val="006A0200"/>
    <w:rsid w:val="006A68E3"/>
    <w:rsid w:val="006B1788"/>
    <w:rsid w:val="006B21FE"/>
    <w:rsid w:val="006C208D"/>
    <w:rsid w:val="006C65FE"/>
    <w:rsid w:val="006D0E03"/>
    <w:rsid w:val="006D0E66"/>
    <w:rsid w:val="006D39A7"/>
    <w:rsid w:val="006E2AF0"/>
    <w:rsid w:val="006E539C"/>
    <w:rsid w:val="006F191D"/>
    <w:rsid w:val="006F6BB3"/>
    <w:rsid w:val="006F7B0A"/>
    <w:rsid w:val="007002C3"/>
    <w:rsid w:val="00703E38"/>
    <w:rsid w:val="00705710"/>
    <w:rsid w:val="00711D59"/>
    <w:rsid w:val="00711E5C"/>
    <w:rsid w:val="007166F4"/>
    <w:rsid w:val="007176BC"/>
    <w:rsid w:val="00717753"/>
    <w:rsid w:val="0072194B"/>
    <w:rsid w:val="00725932"/>
    <w:rsid w:val="00725C32"/>
    <w:rsid w:val="00734FC2"/>
    <w:rsid w:val="007354DE"/>
    <w:rsid w:val="00740006"/>
    <w:rsid w:val="00753777"/>
    <w:rsid w:val="00753D65"/>
    <w:rsid w:val="007542D8"/>
    <w:rsid w:val="007545CA"/>
    <w:rsid w:val="007578F4"/>
    <w:rsid w:val="00757B44"/>
    <w:rsid w:val="00757EB2"/>
    <w:rsid w:val="00765759"/>
    <w:rsid w:val="00770D0C"/>
    <w:rsid w:val="0077447B"/>
    <w:rsid w:val="007820DA"/>
    <w:rsid w:val="00782B1D"/>
    <w:rsid w:val="00782F93"/>
    <w:rsid w:val="00783F9E"/>
    <w:rsid w:val="00785F8F"/>
    <w:rsid w:val="0078629E"/>
    <w:rsid w:val="00790861"/>
    <w:rsid w:val="00795711"/>
    <w:rsid w:val="00795C19"/>
    <w:rsid w:val="00797DE4"/>
    <w:rsid w:val="007A0588"/>
    <w:rsid w:val="007A444D"/>
    <w:rsid w:val="007A594B"/>
    <w:rsid w:val="007A78D1"/>
    <w:rsid w:val="007B2141"/>
    <w:rsid w:val="007B7125"/>
    <w:rsid w:val="007C106F"/>
    <w:rsid w:val="007C1A92"/>
    <w:rsid w:val="007C2EE6"/>
    <w:rsid w:val="007C50EE"/>
    <w:rsid w:val="007C63A0"/>
    <w:rsid w:val="007C66DE"/>
    <w:rsid w:val="007C6DC4"/>
    <w:rsid w:val="007D42C6"/>
    <w:rsid w:val="007D60BB"/>
    <w:rsid w:val="007D6A7E"/>
    <w:rsid w:val="007D70A2"/>
    <w:rsid w:val="007E1B79"/>
    <w:rsid w:val="007E5A2A"/>
    <w:rsid w:val="007E5FCA"/>
    <w:rsid w:val="007F1A74"/>
    <w:rsid w:val="00801669"/>
    <w:rsid w:val="00801FE3"/>
    <w:rsid w:val="00803415"/>
    <w:rsid w:val="008038E7"/>
    <w:rsid w:val="008062B6"/>
    <w:rsid w:val="008079E2"/>
    <w:rsid w:val="008106B6"/>
    <w:rsid w:val="008133B0"/>
    <w:rsid w:val="00814AAD"/>
    <w:rsid w:val="0082102F"/>
    <w:rsid w:val="00830DE6"/>
    <w:rsid w:val="008354D0"/>
    <w:rsid w:val="008419B2"/>
    <w:rsid w:val="00843480"/>
    <w:rsid w:val="008436A0"/>
    <w:rsid w:val="00843AF7"/>
    <w:rsid w:val="00844E01"/>
    <w:rsid w:val="008468A9"/>
    <w:rsid w:val="008526D4"/>
    <w:rsid w:val="00860BCB"/>
    <w:rsid w:val="008625CB"/>
    <w:rsid w:val="00865A09"/>
    <w:rsid w:val="00865D08"/>
    <w:rsid w:val="00867B05"/>
    <w:rsid w:val="00871E2C"/>
    <w:rsid w:val="00872527"/>
    <w:rsid w:val="008747DF"/>
    <w:rsid w:val="00880EA2"/>
    <w:rsid w:val="0088280A"/>
    <w:rsid w:val="00884C4E"/>
    <w:rsid w:val="00891AD5"/>
    <w:rsid w:val="00893BC8"/>
    <w:rsid w:val="00897C5A"/>
    <w:rsid w:val="008A10BE"/>
    <w:rsid w:val="008A1134"/>
    <w:rsid w:val="008B59BF"/>
    <w:rsid w:val="008B5CF2"/>
    <w:rsid w:val="008B6C67"/>
    <w:rsid w:val="008C2957"/>
    <w:rsid w:val="008D10D0"/>
    <w:rsid w:val="008D6EE1"/>
    <w:rsid w:val="008E485B"/>
    <w:rsid w:val="008F117D"/>
    <w:rsid w:val="008F4DE8"/>
    <w:rsid w:val="008F74EC"/>
    <w:rsid w:val="008F7DA0"/>
    <w:rsid w:val="009007BC"/>
    <w:rsid w:val="0090093F"/>
    <w:rsid w:val="00900E07"/>
    <w:rsid w:val="009048CF"/>
    <w:rsid w:val="00906E9F"/>
    <w:rsid w:val="009115EA"/>
    <w:rsid w:val="00911C2A"/>
    <w:rsid w:val="0091211B"/>
    <w:rsid w:val="00917BFF"/>
    <w:rsid w:val="00920D38"/>
    <w:rsid w:val="00927C81"/>
    <w:rsid w:val="00931E5A"/>
    <w:rsid w:val="00933A01"/>
    <w:rsid w:val="00933B0B"/>
    <w:rsid w:val="00935240"/>
    <w:rsid w:val="00935B36"/>
    <w:rsid w:val="00936ABA"/>
    <w:rsid w:val="00936AC3"/>
    <w:rsid w:val="009375C7"/>
    <w:rsid w:val="00943273"/>
    <w:rsid w:val="00953F34"/>
    <w:rsid w:val="0095517B"/>
    <w:rsid w:val="00955B4F"/>
    <w:rsid w:val="00960194"/>
    <w:rsid w:val="00960A73"/>
    <w:rsid w:val="00960C73"/>
    <w:rsid w:val="0096245E"/>
    <w:rsid w:val="009639BE"/>
    <w:rsid w:val="009660C8"/>
    <w:rsid w:val="00967BB5"/>
    <w:rsid w:val="00970A8C"/>
    <w:rsid w:val="00975C03"/>
    <w:rsid w:val="0097700C"/>
    <w:rsid w:val="009863C3"/>
    <w:rsid w:val="009909F1"/>
    <w:rsid w:val="00994F65"/>
    <w:rsid w:val="00995AE1"/>
    <w:rsid w:val="009A35DD"/>
    <w:rsid w:val="009A6101"/>
    <w:rsid w:val="009B3E42"/>
    <w:rsid w:val="009B7BFB"/>
    <w:rsid w:val="009C1068"/>
    <w:rsid w:val="009C1A7C"/>
    <w:rsid w:val="009C5474"/>
    <w:rsid w:val="009D02F8"/>
    <w:rsid w:val="009D23CA"/>
    <w:rsid w:val="009E16B2"/>
    <w:rsid w:val="009E695E"/>
    <w:rsid w:val="009F2211"/>
    <w:rsid w:val="009F4B6D"/>
    <w:rsid w:val="009F5A77"/>
    <w:rsid w:val="009F6AD2"/>
    <w:rsid w:val="00A00ACC"/>
    <w:rsid w:val="00A06D71"/>
    <w:rsid w:val="00A071AF"/>
    <w:rsid w:val="00A07402"/>
    <w:rsid w:val="00A113CE"/>
    <w:rsid w:val="00A14E0F"/>
    <w:rsid w:val="00A16B98"/>
    <w:rsid w:val="00A17561"/>
    <w:rsid w:val="00A17F20"/>
    <w:rsid w:val="00A21164"/>
    <w:rsid w:val="00A219FB"/>
    <w:rsid w:val="00A2281D"/>
    <w:rsid w:val="00A23CA6"/>
    <w:rsid w:val="00A24FA3"/>
    <w:rsid w:val="00A278FC"/>
    <w:rsid w:val="00A3102D"/>
    <w:rsid w:val="00A314FF"/>
    <w:rsid w:val="00A31F07"/>
    <w:rsid w:val="00A40A9E"/>
    <w:rsid w:val="00A43E90"/>
    <w:rsid w:val="00A45F38"/>
    <w:rsid w:val="00A50798"/>
    <w:rsid w:val="00A51421"/>
    <w:rsid w:val="00A51C0B"/>
    <w:rsid w:val="00A626DF"/>
    <w:rsid w:val="00A6350A"/>
    <w:rsid w:val="00A72431"/>
    <w:rsid w:val="00A74020"/>
    <w:rsid w:val="00A75B5D"/>
    <w:rsid w:val="00A81B2E"/>
    <w:rsid w:val="00A96358"/>
    <w:rsid w:val="00AA483B"/>
    <w:rsid w:val="00AA4D33"/>
    <w:rsid w:val="00AB37FB"/>
    <w:rsid w:val="00AB3B98"/>
    <w:rsid w:val="00AB41AE"/>
    <w:rsid w:val="00AB632E"/>
    <w:rsid w:val="00AC4F28"/>
    <w:rsid w:val="00AC57B5"/>
    <w:rsid w:val="00AC5C79"/>
    <w:rsid w:val="00AE4ECA"/>
    <w:rsid w:val="00AF1EDD"/>
    <w:rsid w:val="00B03195"/>
    <w:rsid w:val="00B03422"/>
    <w:rsid w:val="00B03C23"/>
    <w:rsid w:val="00B05C2D"/>
    <w:rsid w:val="00B05D80"/>
    <w:rsid w:val="00B06B6B"/>
    <w:rsid w:val="00B1037F"/>
    <w:rsid w:val="00B11A5D"/>
    <w:rsid w:val="00B1250E"/>
    <w:rsid w:val="00B12698"/>
    <w:rsid w:val="00B17DCC"/>
    <w:rsid w:val="00B17FCF"/>
    <w:rsid w:val="00B24151"/>
    <w:rsid w:val="00B3603C"/>
    <w:rsid w:val="00B44D81"/>
    <w:rsid w:val="00B452AD"/>
    <w:rsid w:val="00B657FE"/>
    <w:rsid w:val="00B67350"/>
    <w:rsid w:val="00B71AD9"/>
    <w:rsid w:val="00B826C8"/>
    <w:rsid w:val="00B83736"/>
    <w:rsid w:val="00B84F05"/>
    <w:rsid w:val="00B8605E"/>
    <w:rsid w:val="00B862AA"/>
    <w:rsid w:val="00B9311E"/>
    <w:rsid w:val="00B94909"/>
    <w:rsid w:val="00B960B3"/>
    <w:rsid w:val="00BA1DD8"/>
    <w:rsid w:val="00BA634F"/>
    <w:rsid w:val="00BA6C7D"/>
    <w:rsid w:val="00BA7F65"/>
    <w:rsid w:val="00BB4A54"/>
    <w:rsid w:val="00BC0433"/>
    <w:rsid w:val="00BC1BED"/>
    <w:rsid w:val="00BC2D94"/>
    <w:rsid w:val="00BC4BA4"/>
    <w:rsid w:val="00BD01D9"/>
    <w:rsid w:val="00BD3485"/>
    <w:rsid w:val="00BE45B1"/>
    <w:rsid w:val="00BE71EA"/>
    <w:rsid w:val="00BE735B"/>
    <w:rsid w:val="00BF071E"/>
    <w:rsid w:val="00BF077D"/>
    <w:rsid w:val="00BF64EC"/>
    <w:rsid w:val="00BF7C2E"/>
    <w:rsid w:val="00C0080B"/>
    <w:rsid w:val="00C01507"/>
    <w:rsid w:val="00C151EC"/>
    <w:rsid w:val="00C17E31"/>
    <w:rsid w:val="00C32BBB"/>
    <w:rsid w:val="00C33F9A"/>
    <w:rsid w:val="00C361F3"/>
    <w:rsid w:val="00C47B9B"/>
    <w:rsid w:val="00C56C42"/>
    <w:rsid w:val="00C604EA"/>
    <w:rsid w:val="00C618D0"/>
    <w:rsid w:val="00C63A4A"/>
    <w:rsid w:val="00C728D2"/>
    <w:rsid w:val="00C73F40"/>
    <w:rsid w:val="00C74E2A"/>
    <w:rsid w:val="00C75119"/>
    <w:rsid w:val="00C851B9"/>
    <w:rsid w:val="00C85E50"/>
    <w:rsid w:val="00C9377B"/>
    <w:rsid w:val="00C95E0F"/>
    <w:rsid w:val="00C962E8"/>
    <w:rsid w:val="00CA061E"/>
    <w:rsid w:val="00CA2E9C"/>
    <w:rsid w:val="00CA5EB9"/>
    <w:rsid w:val="00CB1201"/>
    <w:rsid w:val="00CB6F54"/>
    <w:rsid w:val="00CB7E82"/>
    <w:rsid w:val="00CC1317"/>
    <w:rsid w:val="00CC1B27"/>
    <w:rsid w:val="00CD08B2"/>
    <w:rsid w:val="00CD1C83"/>
    <w:rsid w:val="00CD374A"/>
    <w:rsid w:val="00CD58FD"/>
    <w:rsid w:val="00CD669E"/>
    <w:rsid w:val="00CE071A"/>
    <w:rsid w:val="00CE1F3B"/>
    <w:rsid w:val="00CE2373"/>
    <w:rsid w:val="00CE26C5"/>
    <w:rsid w:val="00CE3295"/>
    <w:rsid w:val="00CF2C01"/>
    <w:rsid w:val="00CF3D1B"/>
    <w:rsid w:val="00CF7161"/>
    <w:rsid w:val="00CF779E"/>
    <w:rsid w:val="00D01081"/>
    <w:rsid w:val="00D102DF"/>
    <w:rsid w:val="00D35916"/>
    <w:rsid w:val="00D4142B"/>
    <w:rsid w:val="00D41ADA"/>
    <w:rsid w:val="00D42A57"/>
    <w:rsid w:val="00D430BC"/>
    <w:rsid w:val="00D447FA"/>
    <w:rsid w:val="00D461EC"/>
    <w:rsid w:val="00D507EB"/>
    <w:rsid w:val="00D55348"/>
    <w:rsid w:val="00D63582"/>
    <w:rsid w:val="00D6549A"/>
    <w:rsid w:val="00D70011"/>
    <w:rsid w:val="00D7054C"/>
    <w:rsid w:val="00D8400B"/>
    <w:rsid w:val="00D84B67"/>
    <w:rsid w:val="00D84D02"/>
    <w:rsid w:val="00D850E6"/>
    <w:rsid w:val="00D85195"/>
    <w:rsid w:val="00D86820"/>
    <w:rsid w:val="00D86E26"/>
    <w:rsid w:val="00D94C70"/>
    <w:rsid w:val="00D94FC3"/>
    <w:rsid w:val="00D96441"/>
    <w:rsid w:val="00D97686"/>
    <w:rsid w:val="00DA1145"/>
    <w:rsid w:val="00DB679F"/>
    <w:rsid w:val="00DC02D5"/>
    <w:rsid w:val="00DC1608"/>
    <w:rsid w:val="00DC31E8"/>
    <w:rsid w:val="00DC5290"/>
    <w:rsid w:val="00DD5E26"/>
    <w:rsid w:val="00DE129F"/>
    <w:rsid w:val="00DF023E"/>
    <w:rsid w:val="00DF0294"/>
    <w:rsid w:val="00DF115C"/>
    <w:rsid w:val="00DF239C"/>
    <w:rsid w:val="00DF4D3E"/>
    <w:rsid w:val="00E21198"/>
    <w:rsid w:val="00E22A82"/>
    <w:rsid w:val="00E23D4C"/>
    <w:rsid w:val="00E2649F"/>
    <w:rsid w:val="00E30280"/>
    <w:rsid w:val="00E31067"/>
    <w:rsid w:val="00E31D18"/>
    <w:rsid w:val="00E33183"/>
    <w:rsid w:val="00E3463A"/>
    <w:rsid w:val="00E365D9"/>
    <w:rsid w:val="00E42C34"/>
    <w:rsid w:val="00E504F1"/>
    <w:rsid w:val="00E545AB"/>
    <w:rsid w:val="00E57441"/>
    <w:rsid w:val="00E57BF5"/>
    <w:rsid w:val="00E63B34"/>
    <w:rsid w:val="00E67D67"/>
    <w:rsid w:val="00E726B3"/>
    <w:rsid w:val="00E72848"/>
    <w:rsid w:val="00E76319"/>
    <w:rsid w:val="00E77D9B"/>
    <w:rsid w:val="00E81E8B"/>
    <w:rsid w:val="00E82C52"/>
    <w:rsid w:val="00E91C7E"/>
    <w:rsid w:val="00E96345"/>
    <w:rsid w:val="00EA419D"/>
    <w:rsid w:val="00EA479B"/>
    <w:rsid w:val="00EA4DEB"/>
    <w:rsid w:val="00EA7BC1"/>
    <w:rsid w:val="00EB1928"/>
    <w:rsid w:val="00EB6E46"/>
    <w:rsid w:val="00ED3461"/>
    <w:rsid w:val="00ED4264"/>
    <w:rsid w:val="00ED48B4"/>
    <w:rsid w:val="00ED77A2"/>
    <w:rsid w:val="00EE19B5"/>
    <w:rsid w:val="00EE3357"/>
    <w:rsid w:val="00EE4E16"/>
    <w:rsid w:val="00EE5701"/>
    <w:rsid w:val="00EE6B2F"/>
    <w:rsid w:val="00EF01CC"/>
    <w:rsid w:val="00EF1998"/>
    <w:rsid w:val="00EF1D5E"/>
    <w:rsid w:val="00EF573C"/>
    <w:rsid w:val="00EF713B"/>
    <w:rsid w:val="00F062DC"/>
    <w:rsid w:val="00F06432"/>
    <w:rsid w:val="00F2139E"/>
    <w:rsid w:val="00F223D4"/>
    <w:rsid w:val="00F25EF7"/>
    <w:rsid w:val="00F26BCD"/>
    <w:rsid w:val="00F30D7E"/>
    <w:rsid w:val="00F32BC2"/>
    <w:rsid w:val="00F37A9F"/>
    <w:rsid w:val="00F468A5"/>
    <w:rsid w:val="00F46C19"/>
    <w:rsid w:val="00F47160"/>
    <w:rsid w:val="00F5506B"/>
    <w:rsid w:val="00F5529F"/>
    <w:rsid w:val="00F565AA"/>
    <w:rsid w:val="00F6586E"/>
    <w:rsid w:val="00F75B54"/>
    <w:rsid w:val="00F82A5C"/>
    <w:rsid w:val="00F82E4D"/>
    <w:rsid w:val="00F858C5"/>
    <w:rsid w:val="00F86218"/>
    <w:rsid w:val="00F86B06"/>
    <w:rsid w:val="00F91449"/>
    <w:rsid w:val="00F9198B"/>
    <w:rsid w:val="00F95D40"/>
    <w:rsid w:val="00FA13F3"/>
    <w:rsid w:val="00FA2330"/>
    <w:rsid w:val="00FA23B0"/>
    <w:rsid w:val="00FB1724"/>
    <w:rsid w:val="00FB4D48"/>
    <w:rsid w:val="00FC091A"/>
    <w:rsid w:val="00FC1F00"/>
    <w:rsid w:val="00FC2A41"/>
    <w:rsid w:val="00FD2967"/>
    <w:rsid w:val="00FD2B90"/>
    <w:rsid w:val="00FD5340"/>
    <w:rsid w:val="00FE17C2"/>
    <w:rsid w:val="00FE3007"/>
    <w:rsid w:val="00FE389D"/>
    <w:rsid w:val="00FE706A"/>
    <w:rsid w:val="00FF0512"/>
    <w:rsid w:val="00FF43DF"/>
    <w:rsid w:val="00FF491F"/>
    <w:rsid w:val="01072322"/>
    <w:rsid w:val="01B623C9"/>
    <w:rsid w:val="01E165B6"/>
    <w:rsid w:val="01F44EC1"/>
    <w:rsid w:val="0240410A"/>
    <w:rsid w:val="02787764"/>
    <w:rsid w:val="02806D44"/>
    <w:rsid w:val="03131C75"/>
    <w:rsid w:val="03385BB8"/>
    <w:rsid w:val="03B96600"/>
    <w:rsid w:val="04067AF1"/>
    <w:rsid w:val="042A0928"/>
    <w:rsid w:val="0432713A"/>
    <w:rsid w:val="04D52407"/>
    <w:rsid w:val="04D528D6"/>
    <w:rsid w:val="057B7DEA"/>
    <w:rsid w:val="05E655BB"/>
    <w:rsid w:val="05EB5C7C"/>
    <w:rsid w:val="06812C3F"/>
    <w:rsid w:val="06BE01F1"/>
    <w:rsid w:val="07C5613B"/>
    <w:rsid w:val="08550A02"/>
    <w:rsid w:val="09516B0E"/>
    <w:rsid w:val="098C6653"/>
    <w:rsid w:val="09AC3B97"/>
    <w:rsid w:val="0A192BCF"/>
    <w:rsid w:val="0A6E5076"/>
    <w:rsid w:val="0AAE3123"/>
    <w:rsid w:val="0B2D7A94"/>
    <w:rsid w:val="0B806432"/>
    <w:rsid w:val="0BBB5BB3"/>
    <w:rsid w:val="0C510F02"/>
    <w:rsid w:val="0C7E5591"/>
    <w:rsid w:val="0DAC7BC5"/>
    <w:rsid w:val="0DBA1A67"/>
    <w:rsid w:val="0DF11883"/>
    <w:rsid w:val="0E1E5990"/>
    <w:rsid w:val="0E1E5F76"/>
    <w:rsid w:val="0E2F0034"/>
    <w:rsid w:val="0E62378E"/>
    <w:rsid w:val="0E9C7C98"/>
    <w:rsid w:val="0EA25E48"/>
    <w:rsid w:val="0ED500F9"/>
    <w:rsid w:val="0EE31562"/>
    <w:rsid w:val="0EED630C"/>
    <w:rsid w:val="0F2B554F"/>
    <w:rsid w:val="0F3130F5"/>
    <w:rsid w:val="0F610C24"/>
    <w:rsid w:val="103F1854"/>
    <w:rsid w:val="107B4784"/>
    <w:rsid w:val="10E2765A"/>
    <w:rsid w:val="11BF1F41"/>
    <w:rsid w:val="12A86173"/>
    <w:rsid w:val="13483AB8"/>
    <w:rsid w:val="136D4CF9"/>
    <w:rsid w:val="139649D4"/>
    <w:rsid w:val="13C4289C"/>
    <w:rsid w:val="144B2B55"/>
    <w:rsid w:val="1459017B"/>
    <w:rsid w:val="145C0540"/>
    <w:rsid w:val="1487652F"/>
    <w:rsid w:val="14935A9E"/>
    <w:rsid w:val="14B367C4"/>
    <w:rsid w:val="14B51B2B"/>
    <w:rsid w:val="15424924"/>
    <w:rsid w:val="154961B3"/>
    <w:rsid w:val="15D37640"/>
    <w:rsid w:val="15ED0E61"/>
    <w:rsid w:val="16066804"/>
    <w:rsid w:val="160B28F1"/>
    <w:rsid w:val="16A45E88"/>
    <w:rsid w:val="16C61883"/>
    <w:rsid w:val="16D7015D"/>
    <w:rsid w:val="17850807"/>
    <w:rsid w:val="17CF2F9C"/>
    <w:rsid w:val="1812095D"/>
    <w:rsid w:val="18233383"/>
    <w:rsid w:val="182F4930"/>
    <w:rsid w:val="18594380"/>
    <w:rsid w:val="191E7A97"/>
    <w:rsid w:val="19806480"/>
    <w:rsid w:val="1993185C"/>
    <w:rsid w:val="1A08586D"/>
    <w:rsid w:val="1A1F757F"/>
    <w:rsid w:val="1ACB7464"/>
    <w:rsid w:val="1B3A78E0"/>
    <w:rsid w:val="1BB03CBB"/>
    <w:rsid w:val="1BB8146E"/>
    <w:rsid w:val="1BCA3BCE"/>
    <w:rsid w:val="1C1B2BA3"/>
    <w:rsid w:val="1C4E79B5"/>
    <w:rsid w:val="1C742BA9"/>
    <w:rsid w:val="1CF0043D"/>
    <w:rsid w:val="1D1038A8"/>
    <w:rsid w:val="1D4B4912"/>
    <w:rsid w:val="1EA67C4B"/>
    <w:rsid w:val="1EF131F9"/>
    <w:rsid w:val="1F3605F3"/>
    <w:rsid w:val="1FE52DFB"/>
    <w:rsid w:val="1FF948B0"/>
    <w:rsid w:val="20AC46F5"/>
    <w:rsid w:val="20BF1CD9"/>
    <w:rsid w:val="20F34C93"/>
    <w:rsid w:val="20FB6F10"/>
    <w:rsid w:val="21AC3446"/>
    <w:rsid w:val="21D83093"/>
    <w:rsid w:val="222E7232"/>
    <w:rsid w:val="227F1045"/>
    <w:rsid w:val="22AA6963"/>
    <w:rsid w:val="22B459F6"/>
    <w:rsid w:val="23134806"/>
    <w:rsid w:val="23872C61"/>
    <w:rsid w:val="238B7D0F"/>
    <w:rsid w:val="23FD7778"/>
    <w:rsid w:val="23FE45B6"/>
    <w:rsid w:val="242E29FC"/>
    <w:rsid w:val="243767D3"/>
    <w:rsid w:val="24B208C9"/>
    <w:rsid w:val="252215F4"/>
    <w:rsid w:val="253720B3"/>
    <w:rsid w:val="25470E7E"/>
    <w:rsid w:val="25992198"/>
    <w:rsid w:val="25A80AF2"/>
    <w:rsid w:val="26AA02A5"/>
    <w:rsid w:val="273B2D0D"/>
    <w:rsid w:val="27D31DCD"/>
    <w:rsid w:val="27EE0FA3"/>
    <w:rsid w:val="28100E35"/>
    <w:rsid w:val="28294B9D"/>
    <w:rsid w:val="291E69ED"/>
    <w:rsid w:val="296523A9"/>
    <w:rsid w:val="2A423759"/>
    <w:rsid w:val="2A512F3A"/>
    <w:rsid w:val="2A551F92"/>
    <w:rsid w:val="2A5918D9"/>
    <w:rsid w:val="2AD740CB"/>
    <w:rsid w:val="2AE75E47"/>
    <w:rsid w:val="2B2249A7"/>
    <w:rsid w:val="2B4A159B"/>
    <w:rsid w:val="2BD84247"/>
    <w:rsid w:val="2C173E0F"/>
    <w:rsid w:val="2C3C3593"/>
    <w:rsid w:val="2C820FE6"/>
    <w:rsid w:val="2C8A4D41"/>
    <w:rsid w:val="2CB60AED"/>
    <w:rsid w:val="2DC1009F"/>
    <w:rsid w:val="2E5F1768"/>
    <w:rsid w:val="2EAA2295"/>
    <w:rsid w:val="2EF3164B"/>
    <w:rsid w:val="2F0A6A9F"/>
    <w:rsid w:val="2F837B57"/>
    <w:rsid w:val="2FE232E1"/>
    <w:rsid w:val="306869AD"/>
    <w:rsid w:val="30FC3EC0"/>
    <w:rsid w:val="311708F1"/>
    <w:rsid w:val="31C07FE0"/>
    <w:rsid w:val="32844F24"/>
    <w:rsid w:val="32DC3359"/>
    <w:rsid w:val="32E95B41"/>
    <w:rsid w:val="33A64E45"/>
    <w:rsid w:val="349C0B5B"/>
    <w:rsid w:val="34A74522"/>
    <w:rsid w:val="34BA044B"/>
    <w:rsid w:val="35312E35"/>
    <w:rsid w:val="36376E1F"/>
    <w:rsid w:val="3647085C"/>
    <w:rsid w:val="37323CE6"/>
    <w:rsid w:val="37934571"/>
    <w:rsid w:val="37A632B4"/>
    <w:rsid w:val="37B13854"/>
    <w:rsid w:val="37F60941"/>
    <w:rsid w:val="38B6133C"/>
    <w:rsid w:val="38CA6FEB"/>
    <w:rsid w:val="38F02F87"/>
    <w:rsid w:val="390053EC"/>
    <w:rsid w:val="396D6564"/>
    <w:rsid w:val="39A73E2B"/>
    <w:rsid w:val="39A775D1"/>
    <w:rsid w:val="39C67C2C"/>
    <w:rsid w:val="3A100C6A"/>
    <w:rsid w:val="3A395194"/>
    <w:rsid w:val="3A4A154C"/>
    <w:rsid w:val="3B081B0A"/>
    <w:rsid w:val="3BB31164"/>
    <w:rsid w:val="3BBE3DAF"/>
    <w:rsid w:val="3C07666B"/>
    <w:rsid w:val="3C323AFA"/>
    <w:rsid w:val="3CB952A7"/>
    <w:rsid w:val="3CC51FE2"/>
    <w:rsid w:val="3D26432E"/>
    <w:rsid w:val="3E0541B3"/>
    <w:rsid w:val="3E055E97"/>
    <w:rsid w:val="3E3E2438"/>
    <w:rsid w:val="3E6C15F2"/>
    <w:rsid w:val="3EC6160F"/>
    <w:rsid w:val="3EEF75ED"/>
    <w:rsid w:val="3F0C73EF"/>
    <w:rsid w:val="3F0D0668"/>
    <w:rsid w:val="3FB26A94"/>
    <w:rsid w:val="3FE658FD"/>
    <w:rsid w:val="3FEF08BA"/>
    <w:rsid w:val="40682218"/>
    <w:rsid w:val="406D2A69"/>
    <w:rsid w:val="40753071"/>
    <w:rsid w:val="407955C7"/>
    <w:rsid w:val="40B2118D"/>
    <w:rsid w:val="40EF0E4D"/>
    <w:rsid w:val="40F52E4D"/>
    <w:rsid w:val="410E65E9"/>
    <w:rsid w:val="414C35C9"/>
    <w:rsid w:val="421258E1"/>
    <w:rsid w:val="42383620"/>
    <w:rsid w:val="425618AA"/>
    <w:rsid w:val="426F7C2C"/>
    <w:rsid w:val="42C46C2C"/>
    <w:rsid w:val="42F27594"/>
    <w:rsid w:val="432E6670"/>
    <w:rsid w:val="434E3C13"/>
    <w:rsid w:val="43764136"/>
    <w:rsid w:val="43D07F3C"/>
    <w:rsid w:val="43D73DE5"/>
    <w:rsid w:val="43D827AA"/>
    <w:rsid w:val="43DE3A90"/>
    <w:rsid w:val="443C09F2"/>
    <w:rsid w:val="451F7E4F"/>
    <w:rsid w:val="454A2D44"/>
    <w:rsid w:val="456D1BBD"/>
    <w:rsid w:val="46592E0A"/>
    <w:rsid w:val="475653D8"/>
    <w:rsid w:val="486D4DDA"/>
    <w:rsid w:val="48954D10"/>
    <w:rsid w:val="48A145A3"/>
    <w:rsid w:val="48DE6558"/>
    <w:rsid w:val="49100626"/>
    <w:rsid w:val="491E0DBB"/>
    <w:rsid w:val="49403136"/>
    <w:rsid w:val="49B04342"/>
    <w:rsid w:val="4A081EBB"/>
    <w:rsid w:val="4A4C0772"/>
    <w:rsid w:val="4AE125D0"/>
    <w:rsid w:val="4B314038"/>
    <w:rsid w:val="4B704922"/>
    <w:rsid w:val="4B914D62"/>
    <w:rsid w:val="4BB70EF6"/>
    <w:rsid w:val="4BB8754A"/>
    <w:rsid w:val="4BCC0DEA"/>
    <w:rsid w:val="4C351C21"/>
    <w:rsid w:val="4C4A41EE"/>
    <w:rsid w:val="4D8C7974"/>
    <w:rsid w:val="4DC76AFF"/>
    <w:rsid w:val="4F006470"/>
    <w:rsid w:val="4F060635"/>
    <w:rsid w:val="4F8C6318"/>
    <w:rsid w:val="50A90962"/>
    <w:rsid w:val="51CB5956"/>
    <w:rsid w:val="52560889"/>
    <w:rsid w:val="5274492F"/>
    <w:rsid w:val="528D595F"/>
    <w:rsid w:val="52CE7CF1"/>
    <w:rsid w:val="52D1745D"/>
    <w:rsid w:val="52F4730E"/>
    <w:rsid w:val="52F96C9F"/>
    <w:rsid w:val="5329747D"/>
    <w:rsid w:val="53AB46D9"/>
    <w:rsid w:val="53AE66EB"/>
    <w:rsid w:val="53D508C2"/>
    <w:rsid w:val="53D53F4D"/>
    <w:rsid w:val="53DC545B"/>
    <w:rsid w:val="541E5EBE"/>
    <w:rsid w:val="54D16152"/>
    <w:rsid w:val="54E827F4"/>
    <w:rsid w:val="555B37C3"/>
    <w:rsid w:val="56501E5B"/>
    <w:rsid w:val="568B7048"/>
    <w:rsid w:val="56C1607B"/>
    <w:rsid w:val="57246A6B"/>
    <w:rsid w:val="576172CA"/>
    <w:rsid w:val="578B2251"/>
    <w:rsid w:val="57BF285B"/>
    <w:rsid w:val="57F40246"/>
    <w:rsid w:val="57FA4FFF"/>
    <w:rsid w:val="57FF2051"/>
    <w:rsid w:val="584D4E45"/>
    <w:rsid w:val="5889307B"/>
    <w:rsid w:val="5A0D181F"/>
    <w:rsid w:val="5A55543D"/>
    <w:rsid w:val="5BCB158A"/>
    <w:rsid w:val="5C407990"/>
    <w:rsid w:val="5CC55DC3"/>
    <w:rsid w:val="5CE24180"/>
    <w:rsid w:val="5CE73B41"/>
    <w:rsid w:val="5CF377FE"/>
    <w:rsid w:val="5D8822AB"/>
    <w:rsid w:val="5E646E5E"/>
    <w:rsid w:val="5E812A0C"/>
    <w:rsid w:val="5EA37962"/>
    <w:rsid w:val="5ECF35B4"/>
    <w:rsid w:val="5F3F4714"/>
    <w:rsid w:val="603A0584"/>
    <w:rsid w:val="60655C94"/>
    <w:rsid w:val="60BC7C71"/>
    <w:rsid w:val="6119321E"/>
    <w:rsid w:val="61244188"/>
    <w:rsid w:val="61445325"/>
    <w:rsid w:val="61D66E21"/>
    <w:rsid w:val="6310156A"/>
    <w:rsid w:val="635E7F30"/>
    <w:rsid w:val="636B1BA1"/>
    <w:rsid w:val="637D0E06"/>
    <w:rsid w:val="63DB5ECF"/>
    <w:rsid w:val="648D4F6C"/>
    <w:rsid w:val="649F538D"/>
    <w:rsid w:val="64B774F9"/>
    <w:rsid w:val="64C35550"/>
    <w:rsid w:val="65AA37AD"/>
    <w:rsid w:val="65C0570D"/>
    <w:rsid w:val="65C80FCC"/>
    <w:rsid w:val="65D24D07"/>
    <w:rsid w:val="66142FC3"/>
    <w:rsid w:val="667B6D43"/>
    <w:rsid w:val="668250E3"/>
    <w:rsid w:val="66E31706"/>
    <w:rsid w:val="67992225"/>
    <w:rsid w:val="6816668B"/>
    <w:rsid w:val="68CC2E3F"/>
    <w:rsid w:val="68F5772E"/>
    <w:rsid w:val="69AA785E"/>
    <w:rsid w:val="69DF6907"/>
    <w:rsid w:val="6AE55D66"/>
    <w:rsid w:val="6AF43D5E"/>
    <w:rsid w:val="6B951223"/>
    <w:rsid w:val="6B992ADF"/>
    <w:rsid w:val="6BEB21C1"/>
    <w:rsid w:val="6C273DA4"/>
    <w:rsid w:val="6C410FE9"/>
    <w:rsid w:val="6DCE6CEA"/>
    <w:rsid w:val="6E146B26"/>
    <w:rsid w:val="6E697FA6"/>
    <w:rsid w:val="6EAA5CAD"/>
    <w:rsid w:val="6F1B3D77"/>
    <w:rsid w:val="6F6E77CD"/>
    <w:rsid w:val="6F9633E7"/>
    <w:rsid w:val="6F9C35A0"/>
    <w:rsid w:val="6FAC0E02"/>
    <w:rsid w:val="7026087A"/>
    <w:rsid w:val="705D74D1"/>
    <w:rsid w:val="70CE742C"/>
    <w:rsid w:val="713273A1"/>
    <w:rsid w:val="713A3FC7"/>
    <w:rsid w:val="726B60D7"/>
    <w:rsid w:val="727760E4"/>
    <w:rsid w:val="730D43A6"/>
    <w:rsid w:val="731D3112"/>
    <w:rsid w:val="735C3924"/>
    <w:rsid w:val="74A4620F"/>
    <w:rsid w:val="74E77523"/>
    <w:rsid w:val="75DF4C86"/>
    <w:rsid w:val="7609578F"/>
    <w:rsid w:val="762357D0"/>
    <w:rsid w:val="76CB48A1"/>
    <w:rsid w:val="77A868CA"/>
    <w:rsid w:val="77B20BFE"/>
    <w:rsid w:val="77BB1475"/>
    <w:rsid w:val="78246E0A"/>
    <w:rsid w:val="785F4F41"/>
    <w:rsid w:val="7890786C"/>
    <w:rsid w:val="78E64561"/>
    <w:rsid w:val="79440F3C"/>
    <w:rsid w:val="79790EB7"/>
    <w:rsid w:val="798C1EE6"/>
    <w:rsid w:val="79C757D2"/>
    <w:rsid w:val="7A9B070F"/>
    <w:rsid w:val="7B607618"/>
    <w:rsid w:val="7B6154BD"/>
    <w:rsid w:val="7BD23E3F"/>
    <w:rsid w:val="7BEE6B75"/>
    <w:rsid w:val="7CBC1DF5"/>
    <w:rsid w:val="7D0039A1"/>
    <w:rsid w:val="7D0F64DB"/>
    <w:rsid w:val="7D4D6892"/>
    <w:rsid w:val="7DA96209"/>
    <w:rsid w:val="7DF4659D"/>
    <w:rsid w:val="7E0507A3"/>
    <w:rsid w:val="7EE40B59"/>
    <w:rsid w:val="7EF855E9"/>
    <w:rsid w:val="7FDB22DE"/>
    <w:rsid w:val="7FF72C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sdException w:qFormat="1" w:unhideWhenUsed="0" w:uiPriority="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34"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1"/>
    <w:qFormat/>
    <w:uiPriority w:val="0"/>
    <w:pPr>
      <w:keepNext/>
      <w:keepLines/>
      <w:tabs>
        <w:tab w:val="left" w:pos="432"/>
      </w:tabs>
      <w:spacing w:before="340" w:after="330" w:line="578" w:lineRule="auto"/>
      <w:outlineLvl w:val="0"/>
    </w:pPr>
    <w:rPr>
      <w:b/>
      <w:bCs/>
      <w:kern w:val="44"/>
      <w:sz w:val="44"/>
      <w:szCs w:val="44"/>
    </w:rPr>
  </w:style>
  <w:style w:type="paragraph" w:styleId="3">
    <w:name w:val="heading 2"/>
    <w:basedOn w:val="1"/>
    <w:next w:val="1"/>
    <w:link w:val="42"/>
    <w:qFormat/>
    <w:uiPriority w:val="0"/>
    <w:pPr>
      <w:keepNext/>
      <w:keepLines/>
      <w:tabs>
        <w:tab w:val="left" w:pos="576"/>
      </w:tabs>
      <w:spacing w:before="260" w:after="260" w:line="416" w:lineRule="auto"/>
      <w:outlineLvl w:val="1"/>
    </w:pPr>
    <w:rPr>
      <w:rFonts w:ascii="Arial" w:hAnsi="Arial" w:eastAsia="黑体"/>
      <w:b/>
      <w:bCs/>
      <w:sz w:val="32"/>
      <w:szCs w:val="32"/>
    </w:rPr>
  </w:style>
  <w:style w:type="paragraph" w:styleId="4">
    <w:name w:val="heading 3"/>
    <w:basedOn w:val="1"/>
    <w:next w:val="1"/>
    <w:link w:val="43"/>
    <w:qFormat/>
    <w:uiPriority w:val="0"/>
    <w:pPr>
      <w:keepNext/>
      <w:keepLines/>
      <w:tabs>
        <w:tab w:val="left" w:pos="1260"/>
      </w:tabs>
      <w:spacing w:before="260" w:after="260" w:line="416" w:lineRule="auto"/>
      <w:outlineLvl w:val="2"/>
    </w:pPr>
    <w:rPr>
      <w:b/>
      <w:bCs/>
      <w:sz w:val="32"/>
      <w:szCs w:val="32"/>
    </w:rPr>
  </w:style>
  <w:style w:type="paragraph" w:styleId="5">
    <w:name w:val="heading 4"/>
    <w:basedOn w:val="1"/>
    <w:next w:val="1"/>
    <w:link w:val="44"/>
    <w:qFormat/>
    <w:uiPriority w:val="0"/>
    <w:pPr>
      <w:keepNext/>
      <w:keepLines/>
      <w:tabs>
        <w:tab w:val="left" w:pos="864"/>
      </w:tabs>
      <w:spacing w:before="280" w:after="290" w:line="376" w:lineRule="auto"/>
      <w:outlineLvl w:val="3"/>
    </w:pPr>
    <w:rPr>
      <w:rFonts w:ascii="Arial" w:hAnsi="Arial" w:eastAsia="黑体"/>
      <w:b/>
      <w:bCs/>
      <w:sz w:val="28"/>
      <w:szCs w:val="28"/>
    </w:rPr>
  </w:style>
  <w:style w:type="paragraph" w:styleId="6">
    <w:name w:val="heading 5"/>
    <w:basedOn w:val="1"/>
    <w:next w:val="1"/>
    <w:link w:val="45"/>
    <w:qFormat/>
    <w:uiPriority w:val="0"/>
    <w:pPr>
      <w:keepNext/>
      <w:keepLines/>
      <w:tabs>
        <w:tab w:val="left" w:pos="1008"/>
      </w:tabs>
      <w:spacing w:before="280" w:after="290" w:line="376" w:lineRule="auto"/>
      <w:outlineLvl w:val="4"/>
    </w:pPr>
    <w:rPr>
      <w:b/>
      <w:bCs/>
      <w:sz w:val="28"/>
      <w:szCs w:val="28"/>
    </w:rPr>
  </w:style>
  <w:style w:type="paragraph" w:styleId="7">
    <w:name w:val="heading 6"/>
    <w:basedOn w:val="1"/>
    <w:next w:val="1"/>
    <w:link w:val="46"/>
    <w:qFormat/>
    <w:uiPriority w:val="0"/>
    <w:pPr>
      <w:keepNext/>
      <w:keepLines/>
      <w:tabs>
        <w:tab w:val="left" w:pos="1152"/>
      </w:tabs>
      <w:spacing w:before="240" w:after="64" w:line="320" w:lineRule="auto"/>
      <w:outlineLvl w:val="5"/>
    </w:pPr>
    <w:rPr>
      <w:rFonts w:ascii="Arial" w:hAnsi="Arial" w:eastAsia="黑体"/>
      <w:b/>
      <w:bCs/>
      <w:sz w:val="24"/>
    </w:rPr>
  </w:style>
  <w:style w:type="paragraph" w:styleId="8">
    <w:name w:val="heading 7"/>
    <w:basedOn w:val="1"/>
    <w:next w:val="1"/>
    <w:link w:val="47"/>
    <w:qFormat/>
    <w:uiPriority w:val="0"/>
    <w:pPr>
      <w:keepNext/>
      <w:keepLines/>
      <w:tabs>
        <w:tab w:val="left" w:pos="1296"/>
      </w:tabs>
      <w:spacing w:before="240" w:after="64" w:line="320" w:lineRule="auto"/>
      <w:outlineLvl w:val="6"/>
    </w:pPr>
    <w:rPr>
      <w:b/>
      <w:bCs/>
      <w:sz w:val="24"/>
    </w:rPr>
  </w:style>
  <w:style w:type="paragraph" w:styleId="9">
    <w:name w:val="heading 8"/>
    <w:basedOn w:val="1"/>
    <w:next w:val="1"/>
    <w:link w:val="48"/>
    <w:qFormat/>
    <w:uiPriority w:val="0"/>
    <w:pPr>
      <w:keepNext/>
      <w:keepLines/>
      <w:tabs>
        <w:tab w:val="left" w:pos="1440"/>
      </w:tabs>
      <w:spacing w:before="240" w:after="64" w:line="320" w:lineRule="auto"/>
      <w:outlineLvl w:val="7"/>
    </w:pPr>
    <w:rPr>
      <w:rFonts w:ascii="Arial" w:hAnsi="Arial" w:eastAsia="黑体"/>
      <w:sz w:val="24"/>
    </w:rPr>
  </w:style>
  <w:style w:type="paragraph" w:styleId="10">
    <w:name w:val="heading 9"/>
    <w:basedOn w:val="1"/>
    <w:next w:val="1"/>
    <w:link w:val="49"/>
    <w:qFormat/>
    <w:uiPriority w:val="0"/>
    <w:pPr>
      <w:keepNext/>
      <w:keepLines/>
      <w:tabs>
        <w:tab w:val="left" w:pos="1584"/>
      </w:tabs>
      <w:spacing w:before="240" w:after="64" w:line="320" w:lineRule="auto"/>
      <w:outlineLvl w:val="8"/>
    </w:pPr>
    <w:rPr>
      <w:rFonts w:ascii="Arial" w:hAnsi="Arial" w:eastAsia="黑体"/>
      <w:szCs w:val="21"/>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Layout w:type="fixed"/>
      <w:tblCellMar>
        <w:top w:w="0" w:type="dxa"/>
        <w:left w:w="108" w:type="dxa"/>
        <w:bottom w:w="0" w:type="dxa"/>
        <w:right w:w="108" w:type="dxa"/>
      </w:tblCellMar>
    </w:tblPr>
  </w:style>
  <w:style w:type="paragraph" w:styleId="11">
    <w:name w:val="toc 7"/>
    <w:basedOn w:val="1"/>
    <w:next w:val="1"/>
    <w:unhideWhenUsed/>
    <w:qFormat/>
    <w:uiPriority w:val="39"/>
    <w:pPr>
      <w:ind w:left="2520" w:leftChars="1200"/>
    </w:pPr>
  </w:style>
  <w:style w:type="paragraph" w:styleId="12">
    <w:name w:val="Document Map"/>
    <w:basedOn w:val="1"/>
    <w:link w:val="58"/>
    <w:semiHidden/>
    <w:qFormat/>
    <w:uiPriority w:val="0"/>
    <w:pPr>
      <w:shd w:val="clear" w:color="auto" w:fill="000080"/>
    </w:pPr>
  </w:style>
  <w:style w:type="paragraph" w:styleId="13">
    <w:name w:val="annotation text"/>
    <w:basedOn w:val="1"/>
    <w:link w:val="68"/>
    <w:qFormat/>
    <w:uiPriority w:val="99"/>
    <w:pPr>
      <w:jc w:val="left"/>
    </w:pPr>
  </w:style>
  <w:style w:type="paragraph" w:styleId="14">
    <w:name w:val="Body Text"/>
    <w:basedOn w:val="1"/>
    <w:link w:val="73"/>
    <w:qFormat/>
    <w:uiPriority w:val="0"/>
    <w:pPr>
      <w:spacing w:before="60" w:after="60"/>
      <w:ind w:firstLine="200" w:firstLineChars="200"/>
    </w:pPr>
  </w:style>
  <w:style w:type="paragraph" w:styleId="15">
    <w:name w:val="Body Text Indent"/>
    <w:basedOn w:val="1"/>
    <w:link w:val="56"/>
    <w:qFormat/>
    <w:uiPriority w:val="0"/>
    <w:pPr>
      <w:ind w:firstLine="420"/>
    </w:pPr>
  </w:style>
  <w:style w:type="paragraph" w:styleId="16">
    <w:name w:val="toc 5"/>
    <w:basedOn w:val="1"/>
    <w:next w:val="1"/>
    <w:unhideWhenUsed/>
    <w:qFormat/>
    <w:uiPriority w:val="39"/>
    <w:pPr>
      <w:ind w:left="1680" w:leftChars="800"/>
    </w:pPr>
  </w:style>
  <w:style w:type="paragraph" w:styleId="17">
    <w:name w:val="toc 3"/>
    <w:basedOn w:val="1"/>
    <w:next w:val="1"/>
    <w:qFormat/>
    <w:uiPriority w:val="39"/>
    <w:pPr>
      <w:ind w:left="840" w:leftChars="400"/>
    </w:pPr>
  </w:style>
  <w:style w:type="paragraph" w:styleId="18">
    <w:name w:val="Plain Text"/>
    <w:basedOn w:val="1"/>
    <w:link w:val="83"/>
    <w:qFormat/>
    <w:uiPriority w:val="99"/>
    <w:pPr>
      <w:widowControl/>
      <w:spacing w:line="240" w:lineRule="auto"/>
      <w:jc w:val="left"/>
    </w:pPr>
    <w:rPr>
      <w:rFonts w:ascii="宋体" w:hAnsi="Courier New" w:cs="Courier New"/>
      <w:szCs w:val="21"/>
    </w:rPr>
  </w:style>
  <w:style w:type="paragraph" w:styleId="19">
    <w:name w:val="toc 8"/>
    <w:basedOn w:val="1"/>
    <w:next w:val="1"/>
    <w:unhideWhenUsed/>
    <w:qFormat/>
    <w:uiPriority w:val="39"/>
    <w:pPr>
      <w:ind w:left="2940" w:leftChars="1400"/>
    </w:pPr>
  </w:style>
  <w:style w:type="paragraph" w:styleId="20">
    <w:name w:val="Date"/>
    <w:basedOn w:val="1"/>
    <w:next w:val="1"/>
    <w:link w:val="57"/>
    <w:qFormat/>
    <w:uiPriority w:val="0"/>
    <w:pPr>
      <w:ind w:left="100" w:leftChars="2500"/>
    </w:pPr>
  </w:style>
  <w:style w:type="paragraph" w:styleId="21">
    <w:name w:val="Balloon Text"/>
    <w:basedOn w:val="1"/>
    <w:link w:val="54"/>
    <w:qFormat/>
    <w:uiPriority w:val="99"/>
    <w:rPr>
      <w:sz w:val="18"/>
      <w:szCs w:val="18"/>
    </w:rPr>
  </w:style>
  <w:style w:type="paragraph" w:styleId="22">
    <w:name w:val="footer"/>
    <w:basedOn w:val="1"/>
    <w:link w:val="55"/>
    <w:qFormat/>
    <w:uiPriority w:val="99"/>
    <w:pPr>
      <w:tabs>
        <w:tab w:val="center" w:pos="4153"/>
        <w:tab w:val="right" w:pos="8306"/>
      </w:tabs>
      <w:snapToGrid w:val="0"/>
      <w:jc w:val="left"/>
    </w:pPr>
    <w:rPr>
      <w:sz w:val="18"/>
      <w:szCs w:val="18"/>
    </w:rPr>
  </w:style>
  <w:style w:type="paragraph" w:styleId="23">
    <w:name w:val="header"/>
    <w:basedOn w:val="1"/>
    <w:link w:val="52"/>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24">
    <w:name w:val="toc 1"/>
    <w:basedOn w:val="1"/>
    <w:next w:val="1"/>
    <w:qFormat/>
    <w:uiPriority w:val="39"/>
  </w:style>
  <w:style w:type="paragraph" w:styleId="25">
    <w:name w:val="toc 4"/>
    <w:basedOn w:val="1"/>
    <w:next w:val="1"/>
    <w:unhideWhenUsed/>
    <w:qFormat/>
    <w:uiPriority w:val="39"/>
    <w:pPr>
      <w:ind w:left="1260" w:leftChars="600"/>
    </w:pPr>
  </w:style>
  <w:style w:type="paragraph" w:styleId="26">
    <w:name w:val="toc 6"/>
    <w:basedOn w:val="1"/>
    <w:next w:val="1"/>
    <w:unhideWhenUsed/>
    <w:qFormat/>
    <w:uiPriority w:val="39"/>
    <w:pPr>
      <w:ind w:left="2100" w:leftChars="1000"/>
    </w:pPr>
  </w:style>
  <w:style w:type="paragraph" w:styleId="27">
    <w:name w:val="table of figures"/>
    <w:basedOn w:val="1"/>
    <w:next w:val="1"/>
    <w:qFormat/>
    <w:uiPriority w:val="0"/>
    <w:pPr>
      <w:ind w:left="200" w:leftChars="200" w:hanging="200" w:hangingChars="200"/>
    </w:pPr>
  </w:style>
  <w:style w:type="paragraph" w:styleId="28">
    <w:name w:val="toc 2"/>
    <w:basedOn w:val="1"/>
    <w:next w:val="1"/>
    <w:qFormat/>
    <w:uiPriority w:val="39"/>
    <w:pPr>
      <w:ind w:left="420" w:leftChars="200"/>
    </w:pPr>
  </w:style>
  <w:style w:type="paragraph" w:styleId="29">
    <w:name w:val="toc 9"/>
    <w:basedOn w:val="1"/>
    <w:next w:val="1"/>
    <w:unhideWhenUsed/>
    <w:qFormat/>
    <w:uiPriority w:val="39"/>
    <w:pPr>
      <w:ind w:left="3360" w:leftChars="1600"/>
    </w:pPr>
  </w:style>
  <w:style w:type="paragraph" w:styleId="30">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31">
    <w:name w:val="Title"/>
    <w:basedOn w:val="1"/>
    <w:next w:val="1"/>
    <w:link w:val="50"/>
    <w:qFormat/>
    <w:uiPriority w:val="0"/>
    <w:pPr>
      <w:spacing w:before="240" w:after="60"/>
      <w:jc w:val="center"/>
      <w:outlineLvl w:val="0"/>
    </w:pPr>
    <w:rPr>
      <w:rFonts w:ascii="Cambria" w:hAnsi="Cambria"/>
      <w:b/>
      <w:bCs/>
      <w:sz w:val="32"/>
      <w:szCs w:val="32"/>
    </w:rPr>
  </w:style>
  <w:style w:type="paragraph" w:styleId="32">
    <w:name w:val="annotation subject"/>
    <w:basedOn w:val="13"/>
    <w:next w:val="13"/>
    <w:link w:val="69"/>
    <w:qFormat/>
    <w:uiPriority w:val="0"/>
    <w:rPr>
      <w:b/>
      <w:bCs/>
    </w:rPr>
  </w:style>
  <w:style w:type="table" w:styleId="34">
    <w:name w:val="Colorful List Accent 1"/>
    <w:qFormat/>
    <w:uiPriority w:val="34"/>
    <w:pPr>
      <w:ind w:firstLine="420" w:firstLineChars="200"/>
    </w:pPr>
    <w:rPr>
      <w:rFonts w:ascii="Calibri" w:hAnsi="Calibri"/>
      <w:szCs w:val="22"/>
    </w:rPr>
    <w:tblPr>
      <w:tblLayout w:type="fixed"/>
      <w:tblCellMar>
        <w:top w:w="0" w:type="dxa"/>
        <w:left w:w="0" w:type="dxa"/>
        <w:bottom w:w="0" w:type="dxa"/>
        <w:right w:w="0" w:type="dxa"/>
      </w:tblCellMar>
    </w:tblPr>
    <w:tcPr>
      <w:shd w:val="clear" w:color="auto" w:fill="EDF2F8"/>
    </w:tcPr>
    <w:tblStylePr w:type="firstRow">
      <w:rPr>
        <w:b/>
        <w:bCs/>
        <w:color w:val="FFFFFF"/>
      </w:rPr>
      <w:tblPr>
        <w:tblLayout w:type="fixed"/>
      </w:tblPr>
      <w:tcPr>
        <w:tcBorders>
          <w:left w:val="single" w:color="FFFFFF" w:sz="12" w:space="0"/>
        </w:tcBorders>
        <w:shd w:val="clear" w:color="auto" w:fill="9E3A38"/>
      </w:tcPr>
    </w:tblStylePr>
    <w:tblStylePr w:type="lastRow">
      <w:rPr>
        <w:b/>
        <w:bCs/>
        <w:color w:val="9E3A38"/>
      </w:rPr>
      <w:tblPr>
        <w:tblLayout w:type="fixed"/>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D3DFEE"/>
      </w:tcPr>
    </w:tblStylePr>
    <w:tblStylePr w:type="band1Horz">
      <w:tblPr>
        <w:tblLayout w:type="fixed"/>
      </w:tblPr>
      <w:tcPr>
        <w:shd w:val="clear" w:color="auto" w:fill="DBE5F1"/>
      </w:tcPr>
    </w:tblStylePr>
  </w:style>
  <w:style w:type="character" w:styleId="36">
    <w:name w:val="Strong"/>
    <w:qFormat/>
    <w:uiPriority w:val="99"/>
    <w:rPr>
      <w:rFonts w:cs="Times New Roman"/>
      <w:b/>
    </w:rPr>
  </w:style>
  <w:style w:type="character" w:styleId="37">
    <w:name w:val="page number"/>
    <w:qFormat/>
    <w:uiPriority w:val="99"/>
  </w:style>
  <w:style w:type="character" w:styleId="38">
    <w:name w:val="FollowedHyperlink"/>
    <w:qFormat/>
    <w:uiPriority w:val="99"/>
    <w:rPr>
      <w:color w:val="800080"/>
      <w:u w:val="single"/>
    </w:rPr>
  </w:style>
  <w:style w:type="character" w:styleId="39">
    <w:name w:val="Hyperlink"/>
    <w:unhideWhenUsed/>
    <w:qFormat/>
    <w:uiPriority w:val="99"/>
    <w:rPr>
      <w:color w:val="0000FF"/>
      <w:u w:val="single"/>
    </w:rPr>
  </w:style>
  <w:style w:type="character" w:styleId="40">
    <w:name w:val="annotation reference"/>
    <w:qFormat/>
    <w:uiPriority w:val="0"/>
    <w:rPr>
      <w:sz w:val="21"/>
      <w:szCs w:val="21"/>
    </w:rPr>
  </w:style>
  <w:style w:type="character" w:customStyle="1" w:styleId="41">
    <w:name w:val="标题 1 Char"/>
    <w:link w:val="2"/>
    <w:qFormat/>
    <w:uiPriority w:val="0"/>
    <w:rPr>
      <w:b/>
      <w:bCs/>
      <w:kern w:val="44"/>
      <w:sz w:val="44"/>
      <w:szCs w:val="44"/>
    </w:rPr>
  </w:style>
  <w:style w:type="character" w:customStyle="1" w:styleId="42">
    <w:name w:val="标题 2 Char"/>
    <w:link w:val="3"/>
    <w:qFormat/>
    <w:uiPriority w:val="0"/>
    <w:rPr>
      <w:rFonts w:ascii="Arial" w:hAnsi="Arial" w:eastAsia="黑体"/>
      <w:b/>
      <w:bCs/>
      <w:kern w:val="2"/>
      <w:sz w:val="32"/>
      <w:szCs w:val="32"/>
    </w:rPr>
  </w:style>
  <w:style w:type="character" w:customStyle="1" w:styleId="43">
    <w:name w:val="标题 3 Char"/>
    <w:link w:val="4"/>
    <w:qFormat/>
    <w:uiPriority w:val="0"/>
    <w:rPr>
      <w:b/>
      <w:bCs/>
      <w:kern w:val="2"/>
      <w:sz w:val="32"/>
      <w:szCs w:val="32"/>
    </w:rPr>
  </w:style>
  <w:style w:type="character" w:customStyle="1" w:styleId="44">
    <w:name w:val="标题 4 Char"/>
    <w:link w:val="5"/>
    <w:qFormat/>
    <w:uiPriority w:val="0"/>
    <w:rPr>
      <w:rFonts w:ascii="Arial" w:hAnsi="Arial" w:eastAsia="黑体"/>
      <w:b/>
      <w:bCs/>
      <w:kern w:val="2"/>
      <w:sz w:val="28"/>
      <w:szCs w:val="28"/>
    </w:rPr>
  </w:style>
  <w:style w:type="character" w:customStyle="1" w:styleId="45">
    <w:name w:val="标题 5 Char"/>
    <w:link w:val="6"/>
    <w:qFormat/>
    <w:uiPriority w:val="0"/>
    <w:rPr>
      <w:b/>
      <w:bCs/>
      <w:kern w:val="2"/>
      <w:sz w:val="28"/>
      <w:szCs w:val="28"/>
    </w:rPr>
  </w:style>
  <w:style w:type="character" w:customStyle="1" w:styleId="46">
    <w:name w:val="标题 6 Char"/>
    <w:link w:val="7"/>
    <w:qFormat/>
    <w:uiPriority w:val="0"/>
    <w:rPr>
      <w:rFonts w:ascii="Arial" w:hAnsi="Arial" w:eastAsia="黑体"/>
      <w:b/>
      <w:bCs/>
      <w:kern w:val="2"/>
      <w:sz w:val="24"/>
      <w:szCs w:val="24"/>
    </w:rPr>
  </w:style>
  <w:style w:type="character" w:customStyle="1" w:styleId="47">
    <w:name w:val="标题 7 Char"/>
    <w:link w:val="8"/>
    <w:qFormat/>
    <w:uiPriority w:val="0"/>
    <w:rPr>
      <w:b/>
      <w:bCs/>
      <w:kern w:val="2"/>
      <w:sz w:val="24"/>
      <w:szCs w:val="24"/>
    </w:rPr>
  </w:style>
  <w:style w:type="character" w:customStyle="1" w:styleId="48">
    <w:name w:val="标题 8 Char"/>
    <w:link w:val="9"/>
    <w:qFormat/>
    <w:uiPriority w:val="0"/>
    <w:rPr>
      <w:rFonts w:ascii="Arial" w:hAnsi="Arial" w:eastAsia="黑体"/>
      <w:kern w:val="2"/>
      <w:sz w:val="24"/>
      <w:szCs w:val="24"/>
    </w:rPr>
  </w:style>
  <w:style w:type="character" w:customStyle="1" w:styleId="49">
    <w:name w:val="标题 9 Char"/>
    <w:link w:val="10"/>
    <w:qFormat/>
    <w:uiPriority w:val="0"/>
    <w:rPr>
      <w:rFonts w:ascii="Arial" w:hAnsi="Arial" w:eastAsia="黑体"/>
      <w:kern w:val="2"/>
      <w:sz w:val="21"/>
      <w:szCs w:val="21"/>
    </w:rPr>
  </w:style>
  <w:style w:type="character" w:customStyle="1" w:styleId="50">
    <w:name w:val="标题 Char"/>
    <w:link w:val="31"/>
    <w:qFormat/>
    <w:uiPriority w:val="0"/>
    <w:rPr>
      <w:rFonts w:ascii="Cambria" w:hAnsi="Cambria" w:cs="Times New Roman"/>
      <w:b/>
      <w:bCs/>
      <w:kern w:val="2"/>
      <w:sz w:val="32"/>
      <w:szCs w:val="32"/>
    </w:rPr>
  </w:style>
  <w:style w:type="character" w:customStyle="1" w:styleId="51">
    <w:name w:val="日期 Char"/>
    <w:qFormat/>
    <w:uiPriority w:val="0"/>
    <w:rPr>
      <w:kern w:val="2"/>
      <w:sz w:val="21"/>
      <w:szCs w:val="24"/>
    </w:rPr>
  </w:style>
  <w:style w:type="character" w:customStyle="1" w:styleId="52">
    <w:name w:val="页眉 Char"/>
    <w:link w:val="23"/>
    <w:qFormat/>
    <w:uiPriority w:val="99"/>
    <w:rPr>
      <w:kern w:val="2"/>
      <w:sz w:val="18"/>
      <w:szCs w:val="18"/>
    </w:rPr>
  </w:style>
  <w:style w:type="character" w:customStyle="1" w:styleId="53">
    <w:name w:val="页脚 Char"/>
    <w:qFormat/>
    <w:uiPriority w:val="99"/>
    <w:rPr>
      <w:kern w:val="2"/>
      <w:sz w:val="18"/>
      <w:szCs w:val="18"/>
    </w:rPr>
  </w:style>
  <w:style w:type="character" w:customStyle="1" w:styleId="54">
    <w:name w:val="批注框文本 Char"/>
    <w:link w:val="21"/>
    <w:qFormat/>
    <w:uiPriority w:val="99"/>
    <w:rPr>
      <w:kern w:val="2"/>
      <w:sz w:val="18"/>
      <w:szCs w:val="18"/>
    </w:rPr>
  </w:style>
  <w:style w:type="character" w:customStyle="1" w:styleId="55">
    <w:name w:val="页脚 Char1"/>
    <w:link w:val="22"/>
    <w:qFormat/>
    <w:uiPriority w:val="99"/>
    <w:rPr>
      <w:kern w:val="2"/>
      <w:sz w:val="18"/>
      <w:szCs w:val="18"/>
    </w:rPr>
  </w:style>
  <w:style w:type="character" w:customStyle="1" w:styleId="56">
    <w:name w:val="正文文本缩进 Char"/>
    <w:link w:val="15"/>
    <w:qFormat/>
    <w:uiPriority w:val="0"/>
    <w:rPr>
      <w:kern w:val="2"/>
      <w:sz w:val="21"/>
      <w:szCs w:val="24"/>
    </w:rPr>
  </w:style>
  <w:style w:type="character" w:customStyle="1" w:styleId="57">
    <w:name w:val="日期 Char2"/>
    <w:link w:val="20"/>
    <w:qFormat/>
    <w:uiPriority w:val="0"/>
    <w:rPr>
      <w:kern w:val="2"/>
      <w:sz w:val="21"/>
      <w:szCs w:val="24"/>
    </w:rPr>
  </w:style>
  <w:style w:type="character" w:customStyle="1" w:styleId="58">
    <w:name w:val="文档结构图 Char"/>
    <w:link w:val="12"/>
    <w:semiHidden/>
    <w:qFormat/>
    <w:uiPriority w:val="0"/>
    <w:rPr>
      <w:kern w:val="2"/>
      <w:sz w:val="21"/>
      <w:szCs w:val="24"/>
      <w:shd w:val="clear" w:color="auto" w:fill="000080"/>
    </w:rPr>
  </w:style>
  <w:style w:type="paragraph" w:customStyle="1" w:styleId="59">
    <w:name w:val="Char Char Char Char Char"/>
    <w:basedOn w:val="1"/>
    <w:qFormat/>
    <w:uiPriority w:val="0"/>
    <w:pPr>
      <w:bidi/>
      <w:adjustRightInd w:val="0"/>
      <w:spacing w:after="160" w:line="240" w:lineRule="exact"/>
      <w:ind w:left="-360" w:leftChars="-150"/>
      <w:jc w:val="left"/>
    </w:pPr>
    <w:rPr>
      <w:color w:val="000000"/>
      <w:kern w:val="0"/>
      <w:sz w:val="20"/>
      <w:szCs w:val="20"/>
      <w:lang w:val="en-GB" w:bidi="he-IL"/>
    </w:rPr>
  </w:style>
  <w:style w:type="paragraph" w:customStyle="1" w:styleId="60">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61">
    <w:name w:val="样式1"/>
    <w:basedOn w:val="1"/>
    <w:qFormat/>
    <w:uiPriority w:val="0"/>
    <w:rPr>
      <w:rFonts w:eastAsia="Webdings"/>
      <w:b/>
    </w:rPr>
  </w:style>
  <w:style w:type="paragraph" w:customStyle="1" w:styleId="62">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63">
    <w:name w:val="Char Char"/>
    <w:basedOn w:val="1"/>
    <w:qFormat/>
    <w:uiPriority w:val="0"/>
    <w:pPr>
      <w:tabs>
        <w:tab w:val="left" w:pos="740"/>
      </w:tabs>
      <w:spacing w:line="300" w:lineRule="auto"/>
      <w:ind w:firstLine="200" w:firstLineChars="200"/>
    </w:pPr>
    <w:rPr>
      <w:rFonts w:ascii="Arial" w:hAnsi="Arial"/>
      <w:b/>
      <w:sz w:val="24"/>
    </w:rPr>
  </w:style>
  <w:style w:type="paragraph" w:customStyle="1" w:styleId="64">
    <w:name w:val="_Style 1"/>
    <w:basedOn w:val="1"/>
    <w:qFormat/>
    <w:uiPriority w:val="99"/>
    <w:pPr>
      <w:spacing w:line="240" w:lineRule="auto"/>
      <w:ind w:firstLine="420" w:firstLineChars="200"/>
    </w:pPr>
    <w:rPr>
      <w:rFonts w:ascii="Calibri" w:hAnsi="Calibri"/>
      <w:szCs w:val="22"/>
    </w:rPr>
  </w:style>
  <w:style w:type="paragraph" w:customStyle="1" w:styleId="65">
    <w:name w:val="管理样式"/>
    <w:basedOn w:val="1"/>
    <w:link w:val="66"/>
    <w:qFormat/>
    <w:uiPriority w:val="0"/>
    <w:pPr>
      <w:jc w:val="center"/>
    </w:pPr>
    <w:rPr>
      <w:b/>
      <w:sz w:val="28"/>
    </w:rPr>
  </w:style>
  <w:style w:type="character" w:customStyle="1" w:styleId="66">
    <w:name w:val="管理样式 字符"/>
    <w:link w:val="65"/>
    <w:qFormat/>
    <w:uiPriority w:val="0"/>
    <w:rPr>
      <w:b/>
      <w:kern w:val="2"/>
      <w:sz w:val="28"/>
      <w:szCs w:val="24"/>
    </w:rPr>
  </w:style>
  <w:style w:type="paragraph" w:styleId="67">
    <w:name w:val="List Paragraph"/>
    <w:basedOn w:val="1"/>
    <w:qFormat/>
    <w:uiPriority w:val="99"/>
    <w:pPr>
      <w:spacing w:line="240" w:lineRule="auto"/>
      <w:ind w:firstLine="420" w:firstLineChars="200"/>
    </w:pPr>
    <w:rPr>
      <w:rFonts w:ascii="Calibri" w:hAnsi="Calibri"/>
      <w:szCs w:val="22"/>
    </w:rPr>
  </w:style>
  <w:style w:type="character" w:customStyle="1" w:styleId="68">
    <w:name w:val="批注文字 Char"/>
    <w:link w:val="13"/>
    <w:qFormat/>
    <w:uiPriority w:val="0"/>
    <w:rPr>
      <w:kern w:val="2"/>
      <w:sz w:val="21"/>
      <w:szCs w:val="24"/>
    </w:rPr>
  </w:style>
  <w:style w:type="character" w:customStyle="1" w:styleId="69">
    <w:name w:val="批注主题 Char"/>
    <w:link w:val="32"/>
    <w:qFormat/>
    <w:uiPriority w:val="0"/>
    <w:rPr>
      <w:b/>
      <w:bCs/>
      <w:kern w:val="2"/>
      <w:sz w:val="21"/>
      <w:szCs w:val="24"/>
    </w:rPr>
  </w:style>
  <w:style w:type="paragraph" w:customStyle="1" w:styleId="70">
    <w:name w:val="正文 + 首行缩进:  2 字符"/>
    <w:basedOn w:val="1"/>
    <w:link w:val="71"/>
    <w:qFormat/>
    <w:uiPriority w:val="0"/>
    <w:pPr>
      <w:ind w:left="576"/>
    </w:pPr>
    <w:rPr>
      <w:szCs w:val="21"/>
    </w:rPr>
  </w:style>
  <w:style w:type="character" w:customStyle="1" w:styleId="71">
    <w:name w:val="正文 + 首行缩进:  2 字符 Char"/>
    <w:link w:val="70"/>
    <w:qFormat/>
    <w:uiPriority w:val="0"/>
    <w:rPr>
      <w:kern w:val="2"/>
      <w:sz w:val="21"/>
      <w:szCs w:val="21"/>
    </w:rPr>
  </w:style>
  <w:style w:type="paragraph" w:customStyle="1" w:styleId="72">
    <w:name w:val="正文缩进2"/>
    <w:basedOn w:val="1"/>
    <w:qFormat/>
    <w:uiPriority w:val="0"/>
    <w:pPr>
      <w:ind w:firstLine="200" w:firstLineChars="200"/>
    </w:pPr>
  </w:style>
  <w:style w:type="character" w:customStyle="1" w:styleId="73">
    <w:name w:val="正文文本 Char"/>
    <w:link w:val="14"/>
    <w:qFormat/>
    <w:uiPriority w:val="0"/>
    <w:rPr>
      <w:kern w:val="2"/>
      <w:sz w:val="21"/>
      <w:szCs w:val="24"/>
    </w:rPr>
  </w:style>
  <w:style w:type="character" w:customStyle="1" w:styleId="74">
    <w:name w:val="页眉 字符"/>
    <w:qFormat/>
    <w:uiPriority w:val="0"/>
    <w:rPr>
      <w:sz w:val="18"/>
      <w:szCs w:val="18"/>
    </w:rPr>
  </w:style>
  <w:style w:type="character" w:customStyle="1" w:styleId="75">
    <w:name w:val="批注框文本 字符"/>
    <w:qFormat/>
    <w:uiPriority w:val="0"/>
    <w:rPr>
      <w:sz w:val="18"/>
      <w:szCs w:val="18"/>
    </w:rPr>
  </w:style>
  <w:style w:type="character" w:customStyle="1" w:styleId="76">
    <w:name w:val="gray2"/>
    <w:qFormat/>
    <w:uiPriority w:val="0"/>
  </w:style>
  <w:style w:type="character" w:customStyle="1" w:styleId="77">
    <w:name w:val="标题 字符"/>
    <w:qFormat/>
    <w:uiPriority w:val="0"/>
    <w:rPr>
      <w:rFonts w:ascii="Cambria" w:hAnsi="Cambria" w:cs="Times New Roman"/>
      <w:b/>
      <w:bCs/>
      <w:sz w:val="32"/>
      <w:szCs w:val="32"/>
    </w:rPr>
  </w:style>
  <w:style w:type="character" w:customStyle="1" w:styleId="78">
    <w:name w:val="日期 Char1"/>
    <w:semiHidden/>
    <w:qFormat/>
    <w:uiPriority w:val="99"/>
    <w:rPr>
      <w:rFonts w:ascii="Times New Roman" w:hAnsi="Times New Roman" w:eastAsia="宋体" w:cs="Times New Roman"/>
      <w:szCs w:val="24"/>
    </w:rPr>
  </w:style>
  <w:style w:type="character" w:customStyle="1" w:styleId="79">
    <w:name w:val="批注框文本 Char1"/>
    <w:semiHidden/>
    <w:qFormat/>
    <w:uiPriority w:val="99"/>
    <w:rPr>
      <w:rFonts w:ascii="Times New Roman" w:hAnsi="Times New Roman" w:eastAsia="宋体" w:cs="Times New Roman"/>
      <w:sz w:val="18"/>
      <w:szCs w:val="18"/>
    </w:rPr>
  </w:style>
  <w:style w:type="character" w:customStyle="1" w:styleId="80">
    <w:name w:val="标题 Char1"/>
    <w:qFormat/>
    <w:uiPriority w:val="10"/>
    <w:rPr>
      <w:rFonts w:ascii="Calibri Light" w:hAnsi="Calibri Light" w:eastAsia="宋体" w:cs="Times New Roman"/>
      <w:b/>
      <w:bCs/>
      <w:sz w:val="32"/>
      <w:szCs w:val="32"/>
    </w:rPr>
  </w:style>
  <w:style w:type="paragraph" w:customStyle="1" w:styleId="81">
    <w:name w:val="列出段落1"/>
    <w:basedOn w:val="1"/>
    <w:qFormat/>
    <w:uiPriority w:val="0"/>
    <w:pPr>
      <w:spacing w:line="240" w:lineRule="auto"/>
      <w:ind w:firstLine="420" w:firstLineChars="200"/>
    </w:pPr>
    <w:rPr>
      <w:rFonts w:ascii="Calibri" w:hAnsi="Calibri"/>
      <w:szCs w:val="22"/>
    </w:rPr>
  </w:style>
  <w:style w:type="paragraph" w:customStyle="1" w:styleId="82">
    <w:name w:val="Char Char Char Char Char1"/>
    <w:basedOn w:val="1"/>
    <w:qFormat/>
    <w:uiPriority w:val="99"/>
    <w:pPr>
      <w:bidi/>
      <w:adjustRightInd w:val="0"/>
      <w:spacing w:after="160" w:line="240" w:lineRule="exact"/>
      <w:ind w:left="-360" w:leftChars="-150"/>
      <w:jc w:val="left"/>
    </w:pPr>
    <w:rPr>
      <w:color w:val="000000"/>
      <w:kern w:val="0"/>
      <w:sz w:val="20"/>
      <w:szCs w:val="20"/>
      <w:lang w:val="en-GB" w:bidi="he-IL"/>
    </w:rPr>
  </w:style>
  <w:style w:type="character" w:customStyle="1" w:styleId="83">
    <w:name w:val="纯文本 Char"/>
    <w:link w:val="18"/>
    <w:qFormat/>
    <w:uiPriority w:val="99"/>
    <w:rPr>
      <w:rFonts w:ascii="宋体" w:hAnsi="Courier New" w:cs="Courier New"/>
      <w:kern w:val="2"/>
      <w:sz w:val="21"/>
      <w:szCs w:val="21"/>
    </w:rPr>
  </w:style>
  <w:style w:type="character" w:customStyle="1" w:styleId="84">
    <w:name w:val="webfx-tree-icon1"/>
    <w:qFormat/>
    <w:uiPriority w:val="99"/>
    <w:rPr>
      <w:rFonts w:cs="Times New Roman"/>
    </w:rPr>
  </w:style>
  <w:style w:type="paragraph" w:customStyle="1" w:styleId="85">
    <w:name w:val="_Style 10"/>
    <w:basedOn w:val="1"/>
    <w:next w:val="1"/>
    <w:qFormat/>
    <w:uiPriority w:val="99"/>
    <w:pPr>
      <w:widowControl/>
      <w:pBdr>
        <w:top w:val="single" w:color="auto" w:sz="6" w:space="1"/>
      </w:pBdr>
      <w:spacing w:line="240" w:lineRule="auto"/>
      <w:jc w:val="center"/>
    </w:pPr>
    <w:rPr>
      <w:rFonts w:ascii="Arial" w:hAnsi="宋体" w:cs="宋体"/>
      <w:vanish/>
      <w:kern w:val="0"/>
      <w:sz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07FB61-AA13-4982-BCE2-CD26211A8322}">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84</Pages>
  <Words>12448</Words>
  <Characters>70959</Characters>
  <Lines>591</Lines>
  <Paragraphs>166</Paragraphs>
  <TotalTime>9</TotalTime>
  <ScaleCrop>false</ScaleCrop>
  <LinksUpToDate>false</LinksUpToDate>
  <CharactersWithSpaces>83241</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2019-03-26T08:44:00Z</dcterms:created>
  <dc:creator>微软用户</dc:creator>
  <cp:lastModifiedBy>hushuang</cp:lastModifiedBy>
  <cp:lastPrinted>2021-02-23T02:47:13Z</cp:lastPrinted>
  <dcterms:modified xsi:type="dcterms:W3CDTF">2021-02-23T02:59:13Z</dcterms:modified>
  <dc:title>文档编号：GOME-ELN-PX-01</dc:title>
  <cp:revision>325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